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F0B9F5" w14:textId="53042B26" w:rsidR="005C0BAE" w:rsidRPr="00023410" w:rsidRDefault="00B173EF">
      <w:pPr>
        <w:pStyle w:val="Date"/>
        <w:spacing w:before="840"/>
        <w:jc w:val="both"/>
        <w:rPr>
          <w:rFonts w:cs="Arial"/>
          <w:szCs w:val="24"/>
          <w:lang w:val="en-NZ"/>
        </w:rPr>
      </w:pPr>
      <w:r w:rsidRPr="00B24F98">
        <w:rPr>
          <w:rFonts w:cs="Arial"/>
          <w:szCs w:val="24"/>
          <w:lang w:val="en-NZ"/>
        </w:rPr>
        <w:t>2</w:t>
      </w:r>
      <w:r w:rsidR="00B24F98" w:rsidRPr="00B24F98">
        <w:rPr>
          <w:rFonts w:cs="Arial"/>
          <w:szCs w:val="24"/>
          <w:lang w:val="en-NZ"/>
        </w:rPr>
        <w:t>7</w:t>
      </w:r>
      <w:r w:rsidR="002F65B2" w:rsidRPr="00B24F98">
        <w:rPr>
          <w:rFonts w:cs="Arial"/>
          <w:szCs w:val="24"/>
          <w:lang w:val="en-NZ"/>
        </w:rPr>
        <w:t xml:space="preserve"> </w:t>
      </w:r>
      <w:r w:rsidR="00212128">
        <w:rPr>
          <w:rFonts w:asciiTheme="majorHAnsi" w:hAnsiTheme="majorHAnsi" w:cstheme="majorHAnsi"/>
          <w:szCs w:val="24"/>
        </w:rPr>
        <w:t>Poutū-te-Rangi</w:t>
      </w:r>
      <w:r w:rsidR="00212128" w:rsidRPr="00B24F98">
        <w:rPr>
          <w:rFonts w:cs="Arial"/>
          <w:szCs w:val="24"/>
          <w:lang w:val="en-NZ"/>
        </w:rPr>
        <w:t xml:space="preserve"> </w:t>
      </w:r>
      <w:r w:rsidR="002F65B2" w:rsidRPr="00B24F98">
        <w:rPr>
          <w:rFonts w:cs="Arial"/>
          <w:szCs w:val="24"/>
          <w:lang w:val="en-NZ"/>
        </w:rPr>
        <w:t>(</w:t>
      </w:r>
      <w:r w:rsidR="00B24F98" w:rsidRPr="00B24F98">
        <w:rPr>
          <w:rFonts w:cs="Arial"/>
          <w:szCs w:val="24"/>
          <w:lang w:val="en-NZ"/>
        </w:rPr>
        <w:t>March</w:t>
      </w:r>
      <w:r w:rsidR="002F65B2" w:rsidRPr="00B24F98">
        <w:rPr>
          <w:rFonts w:cs="Arial"/>
          <w:szCs w:val="24"/>
          <w:lang w:val="en-NZ"/>
        </w:rPr>
        <w:t xml:space="preserve">) </w:t>
      </w:r>
      <w:r w:rsidR="00B32155" w:rsidRPr="00B24F98">
        <w:rPr>
          <w:rFonts w:cs="Arial"/>
          <w:szCs w:val="24"/>
          <w:lang w:val="en-NZ"/>
        </w:rPr>
        <w:t>20</w:t>
      </w:r>
      <w:r w:rsidR="001C0ABD" w:rsidRPr="00B24F98">
        <w:rPr>
          <w:rFonts w:cs="Arial"/>
          <w:szCs w:val="24"/>
          <w:lang w:val="en-NZ"/>
        </w:rPr>
        <w:t>2</w:t>
      </w:r>
      <w:r w:rsidR="00FF730B" w:rsidRPr="00B24F98">
        <w:rPr>
          <w:rFonts w:cs="Arial"/>
          <w:szCs w:val="24"/>
          <w:lang w:val="en-NZ"/>
        </w:rPr>
        <w:t>5</w:t>
      </w:r>
      <w:r w:rsidR="005C0BAE" w:rsidRPr="00B24F98">
        <w:rPr>
          <w:rFonts w:cs="Arial"/>
          <w:szCs w:val="24"/>
          <w:lang w:val="en-NZ"/>
        </w:rPr>
        <w:tab/>
      </w:r>
      <w:r w:rsidR="005C0BAE" w:rsidRPr="00B24F98">
        <w:rPr>
          <w:rFonts w:cs="Arial"/>
          <w:szCs w:val="24"/>
          <w:lang w:val="en-NZ"/>
        </w:rPr>
        <w:tab/>
      </w:r>
      <w:r w:rsidR="001F3122" w:rsidRPr="00B24F98">
        <w:rPr>
          <w:rFonts w:cs="Arial"/>
          <w:szCs w:val="24"/>
          <w:lang w:val="en-NZ"/>
        </w:rPr>
        <w:tab/>
      </w:r>
      <w:r w:rsidR="00972448" w:rsidRPr="00B24F98">
        <w:rPr>
          <w:rFonts w:cs="Arial"/>
          <w:szCs w:val="24"/>
          <w:lang w:val="en-NZ"/>
        </w:rPr>
        <w:tab/>
      </w:r>
      <w:r w:rsidR="007A0ABE" w:rsidRPr="00B24F98">
        <w:rPr>
          <w:rFonts w:cs="Arial"/>
          <w:szCs w:val="24"/>
          <w:lang w:val="en-NZ"/>
        </w:rPr>
        <w:tab/>
      </w:r>
      <w:r w:rsidR="001F3122" w:rsidRPr="00B24F98">
        <w:rPr>
          <w:rFonts w:cs="Arial"/>
          <w:szCs w:val="24"/>
          <w:lang w:val="en-NZ"/>
        </w:rPr>
        <w:t>Edition</w:t>
      </w:r>
      <w:r w:rsidR="008D5C0F" w:rsidRPr="00B24F98">
        <w:rPr>
          <w:rFonts w:cs="Arial"/>
          <w:szCs w:val="24"/>
          <w:lang w:val="en-NZ"/>
        </w:rPr>
        <w:t xml:space="preserve"> </w:t>
      </w:r>
      <w:r w:rsidR="00512709" w:rsidRPr="00B24F98">
        <w:rPr>
          <w:rFonts w:cs="Arial"/>
          <w:szCs w:val="24"/>
          <w:lang w:val="en-NZ"/>
        </w:rPr>
        <w:t>09</w:t>
      </w:r>
      <w:r w:rsidR="005C0BAE" w:rsidRPr="00B24F98">
        <w:rPr>
          <w:rFonts w:cs="Arial"/>
          <w:szCs w:val="24"/>
          <w:lang w:val="en-NZ"/>
        </w:rPr>
        <w:t>/20</w:t>
      </w:r>
      <w:r w:rsidR="001C0ABD" w:rsidRPr="00B24F98">
        <w:rPr>
          <w:rFonts w:cs="Arial"/>
          <w:szCs w:val="24"/>
          <w:lang w:val="en-NZ"/>
        </w:rPr>
        <w:t>2</w:t>
      </w:r>
      <w:r w:rsidR="00512709" w:rsidRPr="00B24F98">
        <w:rPr>
          <w:rFonts w:cs="Arial"/>
          <w:szCs w:val="24"/>
          <w:lang w:val="en-NZ"/>
        </w:rPr>
        <w:t>6</w:t>
      </w:r>
    </w:p>
    <w:p w14:paraId="5A4D9B9F" w14:textId="77777777" w:rsidR="00EB461B" w:rsidRPr="00023410" w:rsidRDefault="00EB461B" w:rsidP="00EB461B">
      <w:pPr>
        <w:pStyle w:val="BodyText"/>
        <w:rPr>
          <w:rFonts w:cs="Arial"/>
          <w:szCs w:val="24"/>
        </w:rPr>
      </w:pPr>
      <w:r w:rsidRPr="00023410">
        <w:rPr>
          <w:rFonts w:cs="Arial"/>
          <w:b/>
          <w:bCs/>
          <w:szCs w:val="24"/>
        </w:rPr>
        <w:t xml:space="preserve">Confidential </w:t>
      </w:r>
      <w:proofErr w:type="gramStart"/>
      <w:r w:rsidRPr="00023410">
        <w:rPr>
          <w:rFonts w:cs="Arial"/>
          <w:b/>
          <w:bCs/>
          <w:szCs w:val="24"/>
        </w:rPr>
        <w:t>to:</w:t>
      </w:r>
      <w:proofErr w:type="gramEnd"/>
      <w:r w:rsidRPr="00023410">
        <w:rPr>
          <w:rFonts w:cs="Arial"/>
          <w:b/>
          <w:bCs/>
          <w:szCs w:val="24"/>
        </w:rPr>
        <w:t xml:space="preserve"> briefing subscribers (please do not share)</w:t>
      </w:r>
      <w:r w:rsidRPr="00023410">
        <w:rPr>
          <w:rStyle w:val="EndnoteReference"/>
          <w:rFonts w:cs="Arial"/>
          <w:szCs w:val="24"/>
        </w:rPr>
        <w:endnoteReference w:customMarkFollows="1" w:id="1"/>
        <w:sym w:font="Symbol" w:char="F02A"/>
      </w:r>
      <w:r w:rsidRPr="00023410">
        <w:rPr>
          <w:rFonts w:cs="Arial"/>
          <w:szCs w:val="24"/>
        </w:rPr>
        <w:t xml:space="preserve"> </w:t>
      </w:r>
    </w:p>
    <w:p w14:paraId="137559A1" w14:textId="1920A458" w:rsidR="0038395A" w:rsidRPr="00023410" w:rsidRDefault="00922C88" w:rsidP="00AB223A">
      <w:pPr>
        <w:pStyle w:val="Title"/>
        <w:pBdr>
          <w:bottom w:val="single" w:sz="4" w:space="1" w:color="auto"/>
        </w:pBdr>
        <w:outlineLvl w:val="0"/>
        <w:rPr>
          <w:rFonts w:ascii="Arial" w:hAnsi="Arial" w:cs="Arial"/>
          <w:caps w:val="0"/>
          <w:color w:val="000000"/>
          <w:szCs w:val="24"/>
        </w:rPr>
      </w:pPr>
      <w:r w:rsidRPr="00212128">
        <w:rPr>
          <w:rFonts w:ascii="Arial" w:hAnsi="Arial" w:cs="Arial"/>
          <w:caps w:val="0"/>
          <w:color w:val="000000"/>
          <w:szCs w:val="24"/>
        </w:rPr>
        <w:t>Appendices</w:t>
      </w:r>
      <w:r w:rsidR="00B173EF" w:rsidRPr="00212128">
        <w:rPr>
          <w:rFonts w:ascii="Arial" w:hAnsi="Arial" w:cs="Arial"/>
          <w:caps w:val="0"/>
          <w:color w:val="000000"/>
          <w:szCs w:val="24"/>
        </w:rPr>
        <w:t xml:space="preserve"> </w:t>
      </w:r>
      <w:r w:rsidRPr="00212128">
        <w:rPr>
          <w:rFonts w:ascii="Arial" w:hAnsi="Arial" w:cs="Arial"/>
          <w:caps w:val="0"/>
          <w:color w:val="000000"/>
          <w:szCs w:val="24"/>
        </w:rPr>
        <w:t xml:space="preserve">to the Quarterly Review to </w:t>
      </w:r>
      <w:r w:rsidR="00212128" w:rsidRPr="00212128">
        <w:rPr>
          <w:rFonts w:ascii="Arial" w:hAnsi="Arial" w:cs="Arial"/>
          <w:caps w:val="0"/>
          <w:color w:val="000000"/>
          <w:szCs w:val="24"/>
        </w:rPr>
        <w:t>27</w:t>
      </w:r>
      <w:r w:rsidRPr="00212128">
        <w:rPr>
          <w:rFonts w:ascii="Arial" w:hAnsi="Arial" w:cs="Arial"/>
          <w:caps w:val="0"/>
          <w:color w:val="000000"/>
          <w:szCs w:val="24"/>
        </w:rPr>
        <w:t xml:space="preserve"> </w:t>
      </w:r>
      <w:r w:rsidR="00212128" w:rsidRPr="00212128">
        <w:rPr>
          <w:rFonts w:ascii="Arial" w:hAnsi="Arial" w:cs="Arial"/>
          <w:caps w:val="0"/>
          <w:color w:val="000000"/>
          <w:szCs w:val="24"/>
        </w:rPr>
        <w:t>March</w:t>
      </w:r>
      <w:r w:rsidR="00B173EF" w:rsidRPr="00212128">
        <w:rPr>
          <w:rFonts w:ascii="Arial" w:hAnsi="Arial" w:cs="Arial"/>
          <w:caps w:val="0"/>
          <w:color w:val="000000"/>
          <w:szCs w:val="24"/>
        </w:rPr>
        <w:t xml:space="preserve"> </w:t>
      </w:r>
      <w:r w:rsidRPr="00212128">
        <w:rPr>
          <w:rFonts w:ascii="Arial" w:hAnsi="Arial" w:cs="Arial"/>
          <w:caps w:val="0"/>
          <w:color w:val="000000"/>
          <w:szCs w:val="24"/>
        </w:rPr>
        <w:t>202</w:t>
      </w:r>
      <w:r w:rsidR="00212128" w:rsidRPr="00212128">
        <w:rPr>
          <w:rFonts w:ascii="Arial" w:hAnsi="Arial" w:cs="Arial"/>
          <w:caps w:val="0"/>
          <w:color w:val="000000"/>
          <w:szCs w:val="24"/>
        </w:rPr>
        <w:t>6</w:t>
      </w:r>
    </w:p>
    <w:p w14:paraId="513E642B" w14:textId="77777777" w:rsidR="00AB223A" w:rsidRPr="00023410" w:rsidRDefault="00AB223A" w:rsidP="00512709">
      <w:pPr>
        <w:pStyle w:val="Subtitle"/>
        <w:jc w:val="left"/>
        <w:rPr>
          <w:rFonts w:cs="Arial"/>
          <w:sz w:val="24"/>
          <w:szCs w:val="24"/>
        </w:rPr>
      </w:pPr>
    </w:p>
    <w:p w14:paraId="61AFF0FF" w14:textId="21B9D22F" w:rsidR="003C7CC6" w:rsidRPr="00023410" w:rsidRDefault="003C7CC6" w:rsidP="008D5C0F">
      <w:pPr>
        <w:pStyle w:val="BodyText"/>
        <w:numPr>
          <w:ilvl w:val="0"/>
          <w:numId w:val="2"/>
        </w:numPr>
        <w:rPr>
          <w:rFonts w:cs="Arial"/>
          <w:szCs w:val="24"/>
        </w:rPr>
      </w:pPr>
      <w:hyperlink w:anchor="aa1" w:history="1">
        <w:r w:rsidRPr="00023410">
          <w:rPr>
            <w:rStyle w:val="Hyperlink"/>
            <w:rFonts w:cs="Arial"/>
            <w:szCs w:val="24"/>
          </w:rPr>
          <w:t>Appendix 1 – Social Policy Items;</w:t>
        </w:r>
      </w:hyperlink>
    </w:p>
    <w:p w14:paraId="35BD5036" w14:textId="6E2497A1" w:rsidR="00394CF4" w:rsidRPr="00023410" w:rsidRDefault="003C7CC6" w:rsidP="008D5C0F">
      <w:pPr>
        <w:pStyle w:val="BodyText"/>
        <w:numPr>
          <w:ilvl w:val="0"/>
          <w:numId w:val="2"/>
        </w:numPr>
        <w:rPr>
          <w:rFonts w:cs="Arial"/>
          <w:szCs w:val="24"/>
        </w:rPr>
      </w:pPr>
      <w:hyperlink w:anchor="aa2" w:history="1">
        <w:r w:rsidRPr="00535F1E">
          <w:rPr>
            <w:rStyle w:val="Hyperlink"/>
            <w:rFonts w:cs="Arial"/>
            <w:szCs w:val="24"/>
          </w:rPr>
          <w:t>Appendix 2 – Economic</w:t>
        </w:r>
        <w:r w:rsidR="00001FF7" w:rsidRPr="00535F1E">
          <w:rPr>
            <w:rStyle w:val="Hyperlink"/>
            <w:rFonts w:cs="Arial"/>
            <w:szCs w:val="24"/>
          </w:rPr>
          <w:t xml:space="preserve"> and Environmental</w:t>
        </w:r>
        <w:r w:rsidRPr="00535F1E">
          <w:rPr>
            <w:rStyle w:val="Hyperlink"/>
            <w:rFonts w:cs="Arial"/>
            <w:szCs w:val="24"/>
          </w:rPr>
          <w:t xml:space="preserve"> Policy Items;</w:t>
        </w:r>
      </w:hyperlink>
    </w:p>
    <w:p w14:paraId="3ABAFED6" w14:textId="1FD7FEFC" w:rsidR="007C6647" w:rsidRPr="00023410" w:rsidRDefault="003C7CC6" w:rsidP="008D5C0F">
      <w:pPr>
        <w:pStyle w:val="BodyText"/>
        <w:numPr>
          <w:ilvl w:val="0"/>
          <w:numId w:val="2"/>
        </w:numPr>
        <w:suppressAutoHyphens w:val="0"/>
        <w:rPr>
          <w:rFonts w:cs="Arial"/>
          <w:b/>
          <w:szCs w:val="24"/>
        </w:rPr>
      </w:pPr>
      <w:hyperlink w:anchor="aa3" w:history="1">
        <w:r w:rsidRPr="00E34A72">
          <w:rPr>
            <w:rStyle w:val="Hyperlink"/>
            <w:rFonts w:cs="Arial"/>
            <w:szCs w:val="24"/>
          </w:rPr>
          <w:t xml:space="preserve">Appendix </w:t>
        </w:r>
        <w:r w:rsidR="007C6647" w:rsidRPr="00E34A72">
          <w:rPr>
            <w:rStyle w:val="Hyperlink"/>
            <w:rFonts w:cs="Arial"/>
            <w:szCs w:val="24"/>
          </w:rPr>
          <w:t>3</w:t>
        </w:r>
        <w:r w:rsidR="00744FE9" w:rsidRPr="00E34A72">
          <w:rPr>
            <w:rStyle w:val="Hyperlink"/>
            <w:rFonts w:cs="Arial"/>
            <w:szCs w:val="24"/>
          </w:rPr>
          <w:t xml:space="preserve"> – Treaty of Waitangi M</w:t>
        </w:r>
        <w:bookmarkStart w:id="0" w:name="_Hlt216340370"/>
        <w:r w:rsidR="00744FE9" w:rsidRPr="00E34A72">
          <w:rPr>
            <w:rStyle w:val="Hyperlink"/>
            <w:rFonts w:cs="Arial"/>
            <w:szCs w:val="24"/>
          </w:rPr>
          <w:t>a</w:t>
        </w:r>
        <w:bookmarkEnd w:id="0"/>
        <w:r w:rsidR="00744FE9" w:rsidRPr="00E34A72">
          <w:rPr>
            <w:rStyle w:val="Hyperlink"/>
            <w:rFonts w:cs="Arial"/>
            <w:szCs w:val="24"/>
          </w:rPr>
          <w:t>tters</w:t>
        </w:r>
        <w:r w:rsidR="007C6647" w:rsidRPr="00E34A72">
          <w:rPr>
            <w:rStyle w:val="Hyperlink"/>
            <w:rFonts w:cs="Arial"/>
            <w:szCs w:val="24"/>
          </w:rPr>
          <w:t xml:space="preserve"> </w:t>
        </w:r>
        <w:proofErr w:type="gramStart"/>
        <w:r w:rsidR="007C6647" w:rsidRPr="00E34A72">
          <w:rPr>
            <w:rStyle w:val="Hyperlink"/>
            <w:rFonts w:cs="Arial"/>
            <w:szCs w:val="24"/>
          </w:rPr>
          <w:t>and;</w:t>
        </w:r>
        <w:proofErr w:type="gramEnd"/>
      </w:hyperlink>
      <w:r w:rsidR="007C6647" w:rsidRPr="00023410">
        <w:rPr>
          <w:rFonts w:cs="Arial"/>
          <w:szCs w:val="24"/>
        </w:rPr>
        <w:t xml:space="preserve"> </w:t>
      </w:r>
    </w:p>
    <w:p w14:paraId="15A8A0AA" w14:textId="2945C823" w:rsidR="002E1CF1" w:rsidRPr="00882F91" w:rsidRDefault="007C6647" w:rsidP="00FC3EF4">
      <w:pPr>
        <w:pStyle w:val="BodyText"/>
        <w:numPr>
          <w:ilvl w:val="0"/>
          <w:numId w:val="2"/>
        </w:numPr>
        <w:suppressAutoHyphens w:val="0"/>
        <w:rPr>
          <w:rFonts w:cs="Arial"/>
          <w:b/>
          <w:szCs w:val="24"/>
        </w:rPr>
      </w:pPr>
      <w:hyperlink w:anchor="aa4" w:history="1">
        <w:r w:rsidRPr="007E48D9">
          <w:rPr>
            <w:rStyle w:val="Hyperlink"/>
            <w:rFonts w:cs="Arial"/>
            <w:szCs w:val="24"/>
          </w:rPr>
          <w:t>Appendix 4 – P</w:t>
        </w:r>
        <w:r w:rsidR="00583B0B" w:rsidRPr="007E48D9">
          <w:rPr>
            <w:rStyle w:val="Hyperlink"/>
            <w:rFonts w:cs="Arial"/>
            <w:szCs w:val="24"/>
          </w:rPr>
          <w:t>arliamentary and Related</w:t>
        </w:r>
        <w:r w:rsidRPr="007E48D9">
          <w:rPr>
            <w:rStyle w:val="Hyperlink"/>
            <w:rFonts w:cs="Arial"/>
            <w:szCs w:val="24"/>
          </w:rPr>
          <w:t xml:space="preserve"> Items</w:t>
        </w:r>
        <w:r w:rsidR="00583B0B" w:rsidRPr="007E48D9">
          <w:rPr>
            <w:rStyle w:val="Hyperlink"/>
            <w:rFonts w:cs="Arial"/>
            <w:szCs w:val="24"/>
          </w:rPr>
          <w:t>.</w:t>
        </w:r>
      </w:hyperlink>
      <w:bookmarkStart w:id="1" w:name="a1"/>
      <w:bookmarkStart w:id="2" w:name="SP22"/>
    </w:p>
    <w:p w14:paraId="79B97C35" w14:textId="77777777" w:rsidR="00094C09" w:rsidRDefault="00094C09" w:rsidP="00512709">
      <w:pPr>
        <w:pStyle w:val="BodyText"/>
        <w:suppressAutoHyphens w:val="0"/>
        <w:rPr>
          <w:rFonts w:cs="Arial"/>
          <w:b/>
          <w:szCs w:val="24"/>
        </w:rPr>
      </w:pPr>
      <w:bookmarkStart w:id="3" w:name="ap11"/>
    </w:p>
    <w:p w14:paraId="527ADF63" w14:textId="7E852E34" w:rsidR="00627327" w:rsidRDefault="005C0BAE" w:rsidP="00512709">
      <w:pPr>
        <w:pStyle w:val="BodyText"/>
        <w:suppressAutoHyphens w:val="0"/>
        <w:rPr>
          <w:rFonts w:cs="Arial"/>
          <w:b/>
          <w:szCs w:val="24"/>
        </w:rPr>
      </w:pPr>
      <w:bookmarkStart w:id="4" w:name="aa1"/>
      <w:r w:rsidRPr="00023410">
        <w:rPr>
          <w:rFonts w:cs="Arial"/>
          <w:b/>
          <w:szCs w:val="24"/>
        </w:rPr>
        <w:t xml:space="preserve">Appendix 1 – Social Policy </w:t>
      </w:r>
      <w:r w:rsidR="003C7CC6" w:rsidRPr="00023410">
        <w:rPr>
          <w:rFonts w:cs="Arial"/>
          <w:b/>
          <w:szCs w:val="24"/>
        </w:rPr>
        <w:t>It</w:t>
      </w:r>
      <w:bookmarkEnd w:id="1"/>
      <w:r w:rsidR="00FC3EF4" w:rsidRPr="00023410">
        <w:rPr>
          <w:rFonts w:cs="Arial"/>
          <w:b/>
          <w:szCs w:val="24"/>
        </w:rPr>
        <w:t>ems</w:t>
      </w:r>
      <w:bookmarkStart w:id="5" w:name="EP22"/>
      <w:bookmarkStart w:id="6" w:name="AP2"/>
      <w:bookmarkEnd w:id="2"/>
      <w:bookmarkEnd w:id="3"/>
      <w:bookmarkEnd w:id="4"/>
    </w:p>
    <w:tbl>
      <w:tblPr>
        <w:tblStyle w:val="TableGrid"/>
        <w:tblW w:w="0" w:type="auto"/>
        <w:tblInd w:w="-856" w:type="dxa"/>
        <w:tblLook w:val="04A0" w:firstRow="1" w:lastRow="0" w:firstColumn="1" w:lastColumn="0" w:noHBand="0" w:noVBand="1"/>
      </w:tblPr>
      <w:tblGrid>
        <w:gridCol w:w="1819"/>
        <w:gridCol w:w="1525"/>
        <w:gridCol w:w="6337"/>
      </w:tblGrid>
      <w:tr w:rsidR="00627327" w:rsidRPr="00C13141" w14:paraId="72290CCA" w14:textId="77777777">
        <w:trPr>
          <w:trHeight w:val="2574"/>
        </w:trPr>
        <w:tc>
          <w:tcPr>
            <w:tcW w:w="1819" w:type="dxa"/>
          </w:tcPr>
          <w:p w14:paraId="2298C264" w14:textId="77777777" w:rsidR="00627327" w:rsidRPr="002C602F" w:rsidRDefault="00627327">
            <w:pPr>
              <w:suppressAutoHyphens w:val="0"/>
              <w:spacing w:before="120"/>
              <w:rPr>
                <w:rFonts w:ascii="Arial" w:hAnsi="Arial" w:cs="Arial"/>
                <w:b/>
                <w:sz w:val="22"/>
                <w:szCs w:val="22"/>
              </w:rPr>
            </w:pPr>
            <w:r>
              <w:rPr>
                <w:rFonts w:ascii="Arial" w:hAnsi="Arial" w:cs="Arial"/>
                <w:b/>
                <w:sz w:val="22"/>
                <w:szCs w:val="22"/>
              </w:rPr>
              <w:t>Education</w:t>
            </w:r>
          </w:p>
          <w:p w14:paraId="5966283B" w14:textId="77777777" w:rsidR="00627327" w:rsidRPr="002C602F" w:rsidRDefault="00627327">
            <w:pPr>
              <w:suppressAutoHyphens w:val="0"/>
              <w:rPr>
                <w:rFonts w:ascii="Arial" w:hAnsi="Arial" w:cs="Arial"/>
                <w:b/>
                <w:sz w:val="22"/>
                <w:szCs w:val="22"/>
              </w:rPr>
            </w:pPr>
          </w:p>
          <w:p w14:paraId="3F223839" w14:textId="77777777" w:rsidR="00627327" w:rsidRPr="00E64C93" w:rsidRDefault="00627327">
            <w:pPr>
              <w:rPr>
                <w:rFonts w:ascii="Arial" w:hAnsi="Arial" w:cs="Arial"/>
                <w:b/>
              </w:rPr>
            </w:pPr>
            <w:r w:rsidRPr="002C602F">
              <w:rPr>
                <w:rFonts w:ascii="Arial" w:hAnsi="Arial" w:cs="Arial"/>
                <w:b/>
                <w:sz w:val="22"/>
                <w:szCs w:val="22"/>
              </w:rPr>
              <w:t xml:space="preserve">Pānui </w:t>
            </w:r>
            <w:r>
              <w:rPr>
                <w:rFonts w:ascii="Arial" w:hAnsi="Arial" w:cs="Arial"/>
                <w:b/>
                <w:sz w:val="22"/>
                <w:szCs w:val="22"/>
              </w:rPr>
              <w:t>04</w:t>
            </w:r>
            <w:r w:rsidRPr="002C602F">
              <w:rPr>
                <w:rFonts w:ascii="Arial" w:hAnsi="Arial" w:cs="Arial"/>
                <w:b/>
                <w:sz w:val="22"/>
                <w:szCs w:val="22"/>
              </w:rPr>
              <w:t>/20</w:t>
            </w:r>
            <w:r>
              <w:rPr>
                <w:rFonts w:ascii="Arial" w:hAnsi="Arial" w:cs="Arial"/>
                <w:b/>
                <w:sz w:val="22"/>
                <w:szCs w:val="22"/>
              </w:rPr>
              <w:t>26</w:t>
            </w:r>
          </w:p>
        </w:tc>
        <w:tc>
          <w:tcPr>
            <w:tcW w:w="1525" w:type="dxa"/>
          </w:tcPr>
          <w:p w14:paraId="1ED3C5EA" w14:textId="77777777" w:rsidR="00627327" w:rsidRPr="00842CD7" w:rsidRDefault="00627327">
            <w:pPr>
              <w:suppressAutoHyphens w:val="0"/>
              <w:spacing w:before="120" w:after="120"/>
              <w:rPr>
                <w:rFonts w:ascii="Arial" w:hAnsi="Arial" w:cs="Arial"/>
                <w:b/>
                <w:i/>
                <w:iCs/>
                <w:sz w:val="22"/>
                <w:szCs w:val="22"/>
              </w:rPr>
            </w:pPr>
            <w:r w:rsidRPr="00842CD7">
              <w:rPr>
                <w:rFonts w:ascii="Arial" w:hAnsi="Arial" w:cs="Arial"/>
                <w:b/>
                <w:i/>
                <w:iCs/>
                <w:sz w:val="22"/>
                <w:szCs w:val="22"/>
              </w:rPr>
              <w:t xml:space="preserve">Education Legislative Proposals </w:t>
            </w:r>
          </w:p>
          <w:p w14:paraId="3D5C685E" w14:textId="77777777" w:rsidR="00627327" w:rsidRPr="00E64C93" w:rsidRDefault="00627327">
            <w:pPr>
              <w:suppressAutoHyphens w:val="0"/>
              <w:spacing w:before="120" w:after="120"/>
              <w:rPr>
                <w:rFonts w:ascii="Arial" w:hAnsi="Arial" w:cs="Arial"/>
                <w:i/>
              </w:rPr>
            </w:pPr>
          </w:p>
        </w:tc>
        <w:tc>
          <w:tcPr>
            <w:tcW w:w="6337" w:type="dxa"/>
          </w:tcPr>
          <w:p w14:paraId="1D1CA722" w14:textId="77777777" w:rsidR="00627327" w:rsidRPr="00842CD7" w:rsidRDefault="00627327">
            <w:pPr>
              <w:pStyle w:val="BodyText"/>
              <w:rPr>
                <w:rFonts w:cs="Arial"/>
                <w:bCs/>
                <w:sz w:val="22"/>
                <w:szCs w:val="22"/>
              </w:rPr>
            </w:pPr>
            <w:r w:rsidRPr="00842CD7">
              <w:rPr>
                <w:rFonts w:cs="Arial"/>
                <w:bCs/>
                <w:sz w:val="22"/>
                <w:szCs w:val="22"/>
              </w:rPr>
              <w:t xml:space="preserve">Despite the education sector having </w:t>
            </w:r>
            <w:proofErr w:type="gramStart"/>
            <w:r w:rsidRPr="00842CD7">
              <w:rPr>
                <w:rFonts w:cs="Arial"/>
                <w:bCs/>
                <w:sz w:val="22"/>
                <w:szCs w:val="22"/>
              </w:rPr>
              <w:t>a number of</w:t>
            </w:r>
            <w:proofErr w:type="gramEnd"/>
            <w:r w:rsidRPr="00842CD7">
              <w:rPr>
                <w:rFonts w:cs="Arial"/>
                <w:bCs/>
                <w:sz w:val="22"/>
                <w:szCs w:val="22"/>
              </w:rPr>
              <w:t xml:space="preserve"> positive Māori education announcements this month Education Minister, Erica Stanford, may be challenged to gain much support from Māori educationalists at this time.  This is due to immediate past and pending changes in education legislative and regulatory settings.  As two examples, late last year the Education and Training Act was amended, with unexplained haste, to remove direct Te Tiriti responsibilities away from schools, resulting in a petition against that led by the Iwi Chairs Forum, (Pānui 39/2025 refers).  Second, there is now a further amendment to that law being proposed which, if passed into law, would change the way school curriculum and initial teaching training matters are managed.  Such changes are viewed by many in the education sector as centralising power.  The association of Māori principals, Te Akatea, summarises their view of the pending law change like this:   </w:t>
            </w:r>
          </w:p>
          <w:p w14:paraId="6F4473AE" w14:textId="77777777" w:rsidR="00627327" w:rsidRPr="00842CD7" w:rsidRDefault="00627327">
            <w:pPr>
              <w:pStyle w:val="BodyText"/>
              <w:rPr>
                <w:rFonts w:cs="Arial"/>
                <w:bCs/>
                <w:i/>
                <w:iCs/>
                <w:sz w:val="22"/>
                <w:szCs w:val="22"/>
              </w:rPr>
            </w:pPr>
            <w:r w:rsidRPr="00842CD7">
              <w:rPr>
                <w:rFonts w:cs="Arial"/>
                <w:bCs/>
                <w:i/>
                <w:iCs/>
                <w:sz w:val="22"/>
                <w:szCs w:val="22"/>
              </w:rPr>
              <w:t xml:space="preserve">“This shift effectively dismantles essential rights to voice and engagement, checks and balances and compromises the professional autonomy (Mana Motuhake of Māori educators and school leadership). Furthermore, by marginalizing iwi and Māori informed participation in curriculum design, the Bill threatens to reverse decades of progress toward an equitable, decolonized education system.”  </w:t>
            </w:r>
          </w:p>
          <w:p w14:paraId="3016BA1F" w14:textId="77777777" w:rsidR="00627327" w:rsidRPr="00842CD7" w:rsidRDefault="00627327">
            <w:pPr>
              <w:pStyle w:val="BodyText"/>
              <w:rPr>
                <w:rFonts w:cs="Arial"/>
                <w:bCs/>
                <w:sz w:val="22"/>
                <w:szCs w:val="22"/>
              </w:rPr>
            </w:pPr>
            <w:hyperlink r:id="rId8" w:history="1">
              <w:r w:rsidRPr="00842CD7">
                <w:rPr>
                  <w:rStyle w:val="Hyperlink"/>
                  <w:rFonts w:cs="Arial"/>
                  <w:bCs/>
                  <w:sz w:val="22"/>
                  <w:szCs w:val="22"/>
                </w:rPr>
                <w:t>Te Akatea Submission on the Education and Training (System Reform) Amendment Bill</w:t>
              </w:r>
            </w:hyperlink>
          </w:p>
          <w:p w14:paraId="72EEFDEB" w14:textId="77777777" w:rsidR="00627327" w:rsidRPr="00842CD7" w:rsidRDefault="00627327">
            <w:pPr>
              <w:pStyle w:val="BodyText"/>
              <w:rPr>
                <w:rFonts w:cs="Arial"/>
                <w:bCs/>
                <w:sz w:val="22"/>
                <w:szCs w:val="22"/>
              </w:rPr>
            </w:pPr>
            <w:r w:rsidRPr="00842CD7">
              <w:rPr>
                <w:rFonts w:cs="Arial"/>
                <w:bCs/>
                <w:sz w:val="22"/>
                <w:szCs w:val="22"/>
              </w:rPr>
              <w:t xml:space="preserve">The view of that Māori organisation is consistent with other Māori entity submissions we reviewed.  Another point is made on process – i.e. no prior consultation being held with Māori communities, and the submission period being largely over the summer holiday period, thus raising concerns that normal checks and balances have been minimised.  Hence the question, if the changes are good, why that approach?  We have noted </w:t>
            </w:r>
            <w:proofErr w:type="gramStart"/>
            <w:r w:rsidRPr="00842CD7">
              <w:rPr>
                <w:rFonts w:cs="Arial"/>
                <w:bCs/>
                <w:sz w:val="22"/>
                <w:szCs w:val="22"/>
              </w:rPr>
              <w:t>a number of</w:t>
            </w:r>
            <w:proofErr w:type="gramEnd"/>
            <w:r w:rsidRPr="00842CD7">
              <w:rPr>
                <w:rFonts w:cs="Arial"/>
                <w:bCs/>
                <w:sz w:val="22"/>
                <w:szCs w:val="22"/>
              </w:rPr>
              <w:t xml:space="preserve"> groups raise Treaty compliance concerns with this, and the Ministry of Education also alerts Cabinet to potential Treaty issues arising due to a lack of consultation with Māori.</w:t>
            </w:r>
            <w:r w:rsidRPr="00842CD7">
              <w:rPr>
                <w:rFonts w:cs="Arial"/>
                <w:bCs/>
                <w:sz w:val="22"/>
                <w:szCs w:val="22"/>
                <w:vertAlign w:val="superscript"/>
              </w:rPr>
              <w:footnoteReference w:id="1"/>
            </w:r>
            <w:r w:rsidRPr="00842CD7">
              <w:rPr>
                <w:rFonts w:cs="Arial"/>
                <w:bCs/>
                <w:sz w:val="22"/>
                <w:szCs w:val="22"/>
              </w:rPr>
              <w:t xml:space="preserve">  A second example of concern, this time from the Māori law association is provided below.</w:t>
            </w:r>
          </w:p>
          <w:p w14:paraId="55900539" w14:textId="77777777" w:rsidR="00627327" w:rsidRPr="00842CD7" w:rsidRDefault="00627327">
            <w:pPr>
              <w:pStyle w:val="BodyText"/>
              <w:rPr>
                <w:rFonts w:cs="Arial"/>
                <w:bCs/>
                <w:i/>
                <w:iCs/>
                <w:sz w:val="22"/>
                <w:szCs w:val="22"/>
              </w:rPr>
            </w:pPr>
            <w:r w:rsidRPr="00842CD7">
              <w:rPr>
                <w:rFonts w:cs="Arial"/>
                <w:bCs/>
                <w:i/>
                <w:iCs/>
                <w:sz w:val="22"/>
                <w:szCs w:val="22"/>
              </w:rPr>
              <w:t xml:space="preserve">“…Legislating ahead of genuine Tiriti consistent engagement is inconsistent with the Crown’s obligations under Te Tiriti and with the principles… the Bill introduces wide ranging system reforms that consolidate decision making power in the Minister and Secretary for Education. These include new powers over curriculum statements, teacher standards and criteria, system monitoring mandates, …. </w:t>
            </w:r>
          </w:p>
          <w:p w14:paraId="1125486E" w14:textId="77777777" w:rsidR="00627327" w:rsidRPr="00842CD7" w:rsidRDefault="00627327">
            <w:pPr>
              <w:pStyle w:val="BodyText"/>
              <w:rPr>
                <w:rFonts w:cs="Arial"/>
                <w:bCs/>
                <w:i/>
                <w:iCs/>
                <w:sz w:val="22"/>
                <w:szCs w:val="22"/>
              </w:rPr>
            </w:pPr>
            <w:r w:rsidRPr="00842CD7">
              <w:rPr>
                <w:rFonts w:cs="Arial"/>
                <w:bCs/>
                <w:i/>
                <w:iCs/>
                <w:sz w:val="22"/>
                <w:szCs w:val="22"/>
              </w:rPr>
              <w:t xml:space="preserve">Such centralisation elevates kāwanatanga at the expense of rangatiratanga, despite the education system’s long recognised Tiriti obligations to uphold Māori authority, autonomy and educational approaches. These reforms also have implications for Māori learners in mainstream education settings, who comprise </w:t>
            </w:r>
            <w:proofErr w:type="gramStart"/>
            <w:r w:rsidRPr="00842CD7">
              <w:rPr>
                <w:rFonts w:cs="Arial"/>
                <w:bCs/>
                <w:i/>
                <w:iCs/>
                <w:sz w:val="22"/>
                <w:szCs w:val="22"/>
              </w:rPr>
              <w:t>the majority of</w:t>
            </w:r>
            <w:proofErr w:type="gramEnd"/>
            <w:r w:rsidRPr="00842CD7">
              <w:rPr>
                <w:rFonts w:cs="Arial"/>
                <w:bCs/>
                <w:i/>
                <w:iCs/>
                <w:sz w:val="22"/>
                <w:szCs w:val="22"/>
              </w:rPr>
              <w:t xml:space="preserve"> Māori students and are disproportionately affected ...” Te Hunga </w:t>
            </w:r>
            <w:proofErr w:type="spellStart"/>
            <w:r w:rsidRPr="00842CD7">
              <w:rPr>
                <w:rFonts w:cs="Arial"/>
                <w:bCs/>
                <w:i/>
                <w:iCs/>
                <w:sz w:val="22"/>
                <w:szCs w:val="22"/>
              </w:rPr>
              <w:t>Rōia</w:t>
            </w:r>
            <w:proofErr w:type="spellEnd"/>
            <w:r w:rsidRPr="00842CD7">
              <w:rPr>
                <w:rFonts w:cs="Arial"/>
                <w:bCs/>
                <w:i/>
                <w:iCs/>
                <w:sz w:val="22"/>
                <w:szCs w:val="22"/>
              </w:rPr>
              <w:t xml:space="preserve"> Māori o Aotearoa / The Māori Law Society</w:t>
            </w:r>
          </w:p>
          <w:p w14:paraId="5E586CF1" w14:textId="77777777" w:rsidR="00627327" w:rsidRPr="00842CD7" w:rsidRDefault="00627327">
            <w:pPr>
              <w:pStyle w:val="BodyText"/>
              <w:rPr>
                <w:rFonts w:cs="Arial"/>
                <w:bCs/>
                <w:i/>
                <w:iCs/>
                <w:sz w:val="22"/>
                <w:szCs w:val="22"/>
              </w:rPr>
            </w:pPr>
            <w:hyperlink r:id="rId9" w:history="1">
              <w:r w:rsidRPr="00842CD7">
                <w:rPr>
                  <w:rStyle w:val="Hyperlink"/>
                  <w:rFonts w:cs="Arial"/>
                  <w:bCs/>
                  <w:i/>
                  <w:iCs/>
                  <w:sz w:val="22"/>
                  <w:szCs w:val="22"/>
                </w:rPr>
                <w:t>a928933b21c50900dbad61336ae6d287ee3e1261</w:t>
              </w:r>
            </w:hyperlink>
            <w:r w:rsidRPr="00842CD7">
              <w:rPr>
                <w:rFonts w:cs="Arial"/>
                <w:bCs/>
                <w:i/>
                <w:iCs/>
                <w:sz w:val="22"/>
                <w:szCs w:val="22"/>
              </w:rPr>
              <w:t xml:space="preserve"> </w:t>
            </w:r>
          </w:p>
          <w:p w14:paraId="0158303F" w14:textId="77777777" w:rsidR="00627327" w:rsidRPr="00842CD7" w:rsidRDefault="00627327">
            <w:pPr>
              <w:pStyle w:val="BodyText"/>
              <w:rPr>
                <w:rFonts w:cs="Arial"/>
                <w:sz w:val="22"/>
                <w:szCs w:val="22"/>
              </w:rPr>
            </w:pPr>
            <w:r w:rsidRPr="00842CD7">
              <w:rPr>
                <w:rFonts w:cs="Arial"/>
                <w:sz w:val="22"/>
                <w:szCs w:val="22"/>
              </w:rPr>
              <w:t xml:space="preserve">Last, as a footnote to heightened discontent in this sector, we also advise that this week the school lunch programme </w:t>
            </w:r>
            <w:r w:rsidRPr="00842CD7">
              <w:rPr>
                <w:rFonts w:cs="Arial"/>
                <w:i/>
                <w:iCs/>
                <w:sz w:val="22"/>
                <w:szCs w:val="22"/>
              </w:rPr>
              <w:t>‘Ka Ora, Ka Ako / Healthy School Lunches</w:t>
            </w:r>
            <w:r w:rsidRPr="00842CD7">
              <w:rPr>
                <w:rFonts w:cs="Arial"/>
                <w:sz w:val="22"/>
                <w:szCs w:val="22"/>
              </w:rPr>
              <w:t xml:space="preserve">’ had a name change to </w:t>
            </w:r>
            <w:r w:rsidRPr="00842CD7">
              <w:rPr>
                <w:rFonts w:cs="Arial"/>
                <w:i/>
                <w:iCs/>
                <w:sz w:val="22"/>
                <w:szCs w:val="22"/>
              </w:rPr>
              <w:t>‘Healthy School Lunches’</w:t>
            </w:r>
            <w:r w:rsidRPr="00842CD7">
              <w:rPr>
                <w:rFonts w:cs="Arial"/>
                <w:sz w:val="22"/>
                <w:szCs w:val="22"/>
              </w:rPr>
              <w:t xml:space="preserve">.  The responsible Minister, David Seymour, advised that </w:t>
            </w:r>
            <w:r w:rsidRPr="00842CD7">
              <w:rPr>
                <w:rFonts w:cs="Arial"/>
                <w:i/>
                <w:iCs/>
                <w:sz w:val="22"/>
                <w:szCs w:val="22"/>
              </w:rPr>
              <w:t>“people need to know what things are, that’s why we’re using an English name that everyone understands”</w:t>
            </w:r>
            <w:r w:rsidRPr="00842CD7">
              <w:rPr>
                <w:rFonts w:cs="Arial"/>
                <w:sz w:val="22"/>
                <w:szCs w:val="22"/>
              </w:rPr>
              <w:t xml:space="preserve">.   On this, we are a little bit surprised that Minister Seymour considers the bilingual title created some type of risk, but even more surprised that he thought that matter was of sufficient merit to seek Cabinet’s approval for a name change! </w:t>
            </w:r>
          </w:p>
          <w:p w14:paraId="2F3F9A6F" w14:textId="77777777" w:rsidR="00627327" w:rsidRPr="00842CD7" w:rsidRDefault="00627327">
            <w:pPr>
              <w:pStyle w:val="BodyText"/>
              <w:rPr>
                <w:rFonts w:cs="Arial"/>
                <w:sz w:val="22"/>
                <w:szCs w:val="22"/>
              </w:rPr>
            </w:pPr>
            <w:r w:rsidRPr="00842CD7">
              <w:rPr>
                <w:rFonts w:cs="Arial"/>
                <w:sz w:val="22"/>
                <w:szCs w:val="22"/>
              </w:rPr>
              <w:t>The Education and Training Amendment (System Reform) Bill has closed for submissions, and the Select Committee report back is due on 18 May.</w:t>
            </w:r>
            <w:r w:rsidRPr="00842CD7">
              <w:rPr>
                <w:rFonts w:cs="Arial"/>
                <w:sz w:val="22"/>
                <w:szCs w:val="22"/>
                <w:vertAlign w:val="superscript"/>
              </w:rPr>
              <w:endnoteReference w:id="2"/>
            </w:r>
          </w:p>
          <w:p w14:paraId="36145AFC" w14:textId="77777777" w:rsidR="00627327" w:rsidRPr="00842CD7" w:rsidRDefault="00627327">
            <w:pPr>
              <w:pStyle w:val="BodyText"/>
              <w:rPr>
                <w:rFonts w:cs="Arial"/>
                <w:sz w:val="22"/>
                <w:szCs w:val="22"/>
              </w:rPr>
            </w:pPr>
            <w:hyperlink r:id="rId10" w:history="1">
              <w:r w:rsidRPr="00842CD7">
                <w:rPr>
                  <w:rStyle w:val="Hyperlink"/>
                  <w:rFonts w:cs="Arial"/>
                  <w:sz w:val="22"/>
                  <w:szCs w:val="22"/>
                </w:rPr>
                <w:t>Education and Training (System Reform) Amendment Bill</w:t>
              </w:r>
            </w:hyperlink>
            <w:r w:rsidRPr="00842CD7">
              <w:rPr>
                <w:rFonts w:cs="Arial"/>
                <w:sz w:val="22"/>
                <w:szCs w:val="22"/>
              </w:rPr>
              <w:t xml:space="preserve">  </w:t>
            </w:r>
          </w:p>
          <w:p w14:paraId="1FD965F4" w14:textId="77777777" w:rsidR="00627327" w:rsidRPr="00C13141" w:rsidRDefault="00627327">
            <w:pPr>
              <w:spacing w:before="120" w:after="120"/>
              <w:rPr>
                <w:rFonts w:cs="Arial"/>
                <w:b/>
                <w:bCs/>
                <w:sz w:val="22"/>
                <w:szCs w:val="22"/>
              </w:rPr>
            </w:pPr>
          </w:p>
        </w:tc>
      </w:tr>
    </w:tbl>
    <w:p w14:paraId="20AD46A6" w14:textId="77777777" w:rsidR="00627327" w:rsidRDefault="00627327" w:rsidP="00512709">
      <w:pPr>
        <w:pStyle w:val="BodyText"/>
        <w:suppressAutoHyphens w:val="0"/>
        <w:rPr>
          <w:rFonts w:cs="Arial"/>
          <w:b/>
          <w:szCs w:val="24"/>
        </w:rPr>
      </w:pPr>
    </w:p>
    <w:tbl>
      <w:tblPr>
        <w:tblStyle w:val="TableGrid"/>
        <w:tblW w:w="0" w:type="auto"/>
        <w:tblInd w:w="-856" w:type="dxa"/>
        <w:tblLook w:val="04A0" w:firstRow="1" w:lastRow="0" w:firstColumn="1" w:lastColumn="0" w:noHBand="0" w:noVBand="1"/>
      </w:tblPr>
      <w:tblGrid>
        <w:gridCol w:w="1819"/>
        <w:gridCol w:w="1525"/>
        <w:gridCol w:w="6337"/>
      </w:tblGrid>
      <w:tr w:rsidR="00EE02BC" w:rsidRPr="00E64C93" w14:paraId="48D493D0" w14:textId="77777777">
        <w:trPr>
          <w:trHeight w:val="454"/>
        </w:trPr>
        <w:tc>
          <w:tcPr>
            <w:tcW w:w="1819" w:type="dxa"/>
            <w:vMerge w:val="restart"/>
          </w:tcPr>
          <w:p w14:paraId="60C669CE" w14:textId="1DC30846" w:rsidR="00EE02BC" w:rsidRPr="00C55ADB" w:rsidRDefault="003F6298">
            <w:pPr>
              <w:suppressAutoHyphens w:val="0"/>
              <w:spacing w:before="120"/>
              <w:rPr>
                <w:rFonts w:ascii="Arial" w:hAnsi="Arial" w:cs="Arial"/>
                <w:b/>
                <w:sz w:val="22"/>
                <w:szCs w:val="22"/>
              </w:rPr>
            </w:pPr>
            <w:r w:rsidRPr="00C55ADB">
              <w:rPr>
                <w:rFonts w:ascii="Arial" w:hAnsi="Arial" w:cs="Arial"/>
                <w:b/>
                <w:sz w:val="22"/>
                <w:szCs w:val="22"/>
              </w:rPr>
              <w:t>Employment</w:t>
            </w:r>
          </w:p>
          <w:p w14:paraId="36D5F0B5" w14:textId="77777777" w:rsidR="00EE02BC" w:rsidRPr="00C55ADB" w:rsidRDefault="00EE02BC">
            <w:pPr>
              <w:suppressAutoHyphens w:val="0"/>
              <w:rPr>
                <w:rFonts w:ascii="Arial" w:hAnsi="Arial" w:cs="Arial"/>
                <w:b/>
                <w:sz w:val="22"/>
                <w:szCs w:val="22"/>
              </w:rPr>
            </w:pPr>
          </w:p>
          <w:p w14:paraId="488026AC" w14:textId="77777777" w:rsidR="00EE02BC" w:rsidRPr="00C55ADB" w:rsidRDefault="00EE02BC">
            <w:pPr>
              <w:rPr>
                <w:rFonts w:ascii="Arial" w:hAnsi="Arial" w:cs="Arial"/>
                <w:b/>
                <w:sz w:val="22"/>
                <w:szCs w:val="22"/>
              </w:rPr>
            </w:pPr>
            <w:r w:rsidRPr="00C55ADB">
              <w:rPr>
                <w:rFonts w:ascii="Arial" w:hAnsi="Arial" w:cs="Arial"/>
                <w:b/>
                <w:sz w:val="22"/>
                <w:szCs w:val="22"/>
              </w:rPr>
              <w:t>Pānui 03/2026</w:t>
            </w:r>
          </w:p>
        </w:tc>
        <w:tc>
          <w:tcPr>
            <w:tcW w:w="1525" w:type="dxa"/>
          </w:tcPr>
          <w:p w14:paraId="775862EE" w14:textId="77777777" w:rsidR="00EE02BC" w:rsidRPr="00C55ADB" w:rsidRDefault="00EE02BC">
            <w:pPr>
              <w:suppressAutoHyphens w:val="0"/>
              <w:spacing w:before="120" w:after="120"/>
              <w:rPr>
                <w:rFonts w:ascii="Arial" w:hAnsi="Arial" w:cs="Arial"/>
                <w:i/>
                <w:sz w:val="22"/>
                <w:szCs w:val="22"/>
              </w:rPr>
            </w:pPr>
            <w:r w:rsidRPr="00C55ADB">
              <w:rPr>
                <w:rFonts w:ascii="Arial" w:hAnsi="Arial" w:cs="Arial"/>
                <w:b/>
                <w:sz w:val="22"/>
                <w:szCs w:val="22"/>
              </w:rPr>
              <w:t>Item:</w:t>
            </w:r>
          </w:p>
        </w:tc>
        <w:tc>
          <w:tcPr>
            <w:tcW w:w="6337" w:type="dxa"/>
          </w:tcPr>
          <w:p w14:paraId="14D84B7C" w14:textId="77777777" w:rsidR="00EE02BC" w:rsidRPr="00C55ADB" w:rsidRDefault="00EE02BC">
            <w:pPr>
              <w:pStyle w:val="BodyText"/>
              <w:spacing w:before="120"/>
              <w:rPr>
                <w:rFonts w:cs="Arial"/>
                <w:sz w:val="22"/>
                <w:szCs w:val="22"/>
              </w:rPr>
            </w:pPr>
            <w:bookmarkStart w:id="7" w:name="ap6"/>
            <w:r w:rsidRPr="00C55ADB">
              <w:rPr>
                <w:rFonts w:cs="Arial"/>
                <w:b/>
                <w:sz w:val="22"/>
                <w:szCs w:val="22"/>
              </w:rPr>
              <w:t xml:space="preserve">Household Labour Force Survey: Quarter to 30 </w:t>
            </w:r>
            <w:bookmarkEnd w:id="7"/>
            <w:r w:rsidRPr="00C55ADB">
              <w:rPr>
                <w:rFonts w:cs="Arial"/>
                <w:b/>
                <w:sz w:val="22"/>
                <w:szCs w:val="22"/>
              </w:rPr>
              <w:t>December 2025</w:t>
            </w:r>
          </w:p>
        </w:tc>
      </w:tr>
      <w:tr w:rsidR="00EE02BC" w:rsidRPr="00E64C93" w14:paraId="1B27D59D" w14:textId="77777777">
        <w:trPr>
          <w:trHeight w:val="454"/>
        </w:trPr>
        <w:tc>
          <w:tcPr>
            <w:tcW w:w="1819" w:type="dxa"/>
            <w:vMerge/>
          </w:tcPr>
          <w:p w14:paraId="1E375C25" w14:textId="77777777" w:rsidR="00EE02BC" w:rsidRPr="00C55ADB" w:rsidRDefault="00EE02BC">
            <w:pPr>
              <w:rPr>
                <w:rFonts w:ascii="Arial" w:hAnsi="Arial" w:cs="Arial"/>
                <w:b/>
                <w:sz w:val="22"/>
                <w:szCs w:val="22"/>
              </w:rPr>
            </w:pPr>
          </w:p>
        </w:tc>
        <w:tc>
          <w:tcPr>
            <w:tcW w:w="1525" w:type="dxa"/>
          </w:tcPr>
          <w:p w14:paraId="4CD6B927" w14:textId="77777777" w:rsidR="00EE02BC" w:rsidRPr="00C55ADB" w:rsidRDefault="00EE02BC">
            <w:pPr>
              <w:suppressAutoHyphens w:val="0"/>
              <w:spacing w:before="120" w:after="120"/>
              <w:rPr>
                <w:rFonts w:ascii="Arial" w:hAnsi="Arial" w:cs="Arial"/>
                <w:i/>
                <w:sz w:val="22"/>
                <w:szCs w:val="22"/>
              </w:rPr>
            </w:pPr>
            <w:r w:rsidRPr="00C55ADB">
              <w:rPr>
                <w:rFonts w:ascii="Arial" w:hAnsi="Arial" w:cs="Arial"/>
                <w:sz w:val="22"/>
                <w:szCs w:val="22"/>
              </w:rPr>
              <w:t>Publisher:</w:t>
            </w:r>
          </w:p>
        </w:tc>
        <w:tc>
          <w:tcPr>
            <w:tcW w:w="6337" w:type="dxa"/>
          </w:tcPr>
          <w:p w14:paraId="6489F278" w14:textId="77777777" w:rsidR="00EE02BC" w:rsidRPr="00C55ADB" w:rsidRDefault="00EE02BC">
            <w:pPr>
              <w:pStyle w:val="BodyText"/>
              <w:spacing w:before="120"/>
              <w:rPr>
                <w:rFonts w:cs="Arial"/>
                <w:sz w:val="22"/>
                <w:szCs w:val="22"/>
              </w:rPr>
            </w:pPr>
            <w:r w:rsidRPr="00C55ADB">
              <w:rPr>
                <w:rFonts w:cs="Arial"/>
                <w:sz w:val="22"/>
                <w:szCs w:val="22"/>
              </w:rPr>
              <w:t>Statistics New Zealand (Stats NZ): February 2026</w:t>
            </w:r>
          </w:p>
        </w:tc>
      </w:tr>
      <w:tr w:rsidR="00EE02BC" w:rsidRPr="0065283F" w14:paraId="73134AB4" w14:textId="77777777">
        <w:trPr>
          <w:trHeight w:val="454"/>
        </w:trPr>
        <w:tc>
          <w:tcPr>
            <w:tcW w:w="1819" w:type="dxa"/>
            <w:vMerge/>
          </w:tcPr>
          <w:p w14:paraId="623AB0B7" w14:textId="77777777" w:rsidR="00EE02BC" w:rsidRPr="00C55ADB" w:rsidRDefault="00EE02BC">
            <w:pPr>
              <w:suppressAutoHyphens w:val="0"/>
              <w:rPr>
                <w:rFonts w:ascii="Arial" w:hAnsi="Arial" w:cs="Arial"/>
                <w:b/>
                <w:sz w:val="22"/>
                <w:szCs w:val="22"/>
              </w:rPr>
            </w:pPr>
          </w:p>
        </w:tc>
        <w:tc>
          <w:tcPr>
            <w:tcW w:w="1525" w:type="dxa"/>
          </w:tcPr>
          <w:p w14:paraId="009A3DAB" w14:textId="77777777" w:rsidR="00EE02BC" w:rsidRPr="00C55ADB" w:rsidRDefault="00EE02BC">
            <w:pPr>
              <w:suppressAutoHyphens w:val="0"/>
              <w:spacing w:before="120" w:after="120"/>
              <w:rPr>
                <w:rFonts w:ascii="Arial" w:hAnsi="Arial" w:cs="Arial"/>
                <w:i/>
                <w:sz w:val="22"/>
                <w:szCs w:val="22"/>
              </w:rPr>
            </w:pPr>
            <w:r w:rsidRPr="00C55ADB">
              <w:rPr>
                <w:rFonts w:ascii="Arial" w:hAnsi="Arial" w:cs="Arial"/>
                <w:sz w:val="22"/>
                <w:szCs w:val="22"/>
              </w:rPr>
              <w:t>Content summary:</w:t>
            </w:r>
          </w:p>
        </w:tc>
        <w:tc>
          <w:tcPr>
            <w:tcW w:w="6337" w:type="dxa"/>
          </w:tcPr>
          <w:p w14:paraId="383C6CCA" w14:textId="77777777" w:rsidR="00EE02BC" w:rsidRPr="00C55ADB" w:rsidRDefault="00EE02BC">
            <w:pPr>
              <w:suppressAutoHyphens w:val="0"/>
              <w:spacing w:before="120" w:after="120"/>
              <w:rPr>
                <w:rFonts w:ascii="Arial" w:hAnsi="Arial" w:cs="Arial"/>
                <w:bCs/>
                <w:sz w:val="22"/>
                <w:szCs w:val="22"/>
              </w:rPr>
            </w:pPr>
            <w:r w:rsidRPr="00C55ADB">
              <w:rPr>
                <w:rFonts w:ascii="Arial" w:hAnsi="Arial" w:cs="Arial"/>
                <w:bCs/>
                <w:sz w:val="22"/>
                <w:szCs w:val="22"/>
              </w:rPr>
              <w:t>The Household Labour Force Survey results show that unemployment for the September quarter is 5.4% (which has slightly increased from the previous quarter of 5.3%). For Māori, the unemployment rate increased from 10.5% to 11.2% from the previous quarter. We advise that the Māori unemployment rate remains roughly double that of the total population.</w:t>
            </w:r>
          </w:p>
          <w:p w14:paraId="0126468C" w14:textId="77777777" w:rsidR="00EE02BC" w:rsidRPr="00C55ADB" w:rsidRDefault="00EE02BC">
            <w:pPr>
              <w:suppressAutoHyphens w:val="0"/>
              <w:spacing w:before="120" w:after="120"/>
              <w:rPr>
                <w:rFonts w:ascii="Arial" w:hAnsi="Arial" w:cs="Arial"/>
                <w:bCs/>
                <w:sz w:val="22"/>
                <w:szCs w:val="22"/>
              </w:rPr>
            </w:pPr>
            <w:r w:rsidRPr="00C55ADB">
              <w:rPr>
                <w:rFonts w:ascii="Arial" w:hAnsi="Arial" w:cs="Arial"/>
                <w:bCs/>
                <w:sz w:val="22"/>
                <w:szCs w:val="22"/>
              </w:rPr>
              <w:t>In whole numbers, circa 50,700 Māori are now registered as unemployed and seeking work, which is an Increase of 4,900 from the previous quarter: the number of Māori employed has increased by 12,400 to 402,800 tangata, the employment rate has increased to 60.4%</w:t>
            </w:r>
          </w:p>
          <w:tbl>
            <w:tblPr>
              <w:tblW w:w="0" w:type="auto"/>
              <w:tblLook w:val="04A0" w:firstRow="1" w:lastRow="0" w:firstColumn="1" w:lastColumn="0" w:noHBand="0" w:noVBand="1"/>
            </w:tblPr>
            <w:tblGrid>
              <w:gridCol w:w="2280"/>
              <w:gridCol w:w="1559"/>
              <w:gridCol w:w="1840"/>
            </w:tblGrid>
            <w:tr w:rsidR="00EE02BC" w:rsidRPr="00C55ADB" w14:paraId="589FE405" w14:textId="77777777">
              <w:trPr>
                <w:trHeight w:val="375"/>
              </w:trPr>
              <w:tc>
                <w:tcPr>
                  <w:tcW w:w="5679" w:type="dxa"/>
                  <w:gridSpan w:val="3"/>
                  <w:tcBorders>
                    <w:top w:val="single" w:sz="4" w:space="0" w:color="auto"/>
                    <w:left w:val="single" w:sz="4" w:space="0" w:color="auto"/>
                    <w:bottom w:val="single" w:sz="4" w:space="0" w:color="auto"/>
                    <w:right w:val="single" w:sz="4" w:space="0" w:color="auto"/>
                  </w:tcBorders>
                  <w:hideMark/>
                </w:tcPr>
                <w:p w14:paraId="346D1A8A" w14:textId="77777777" w:rsidR="00EE02BC" w:rsidRPr="00C55ADB" w:rsidRDefault="00EE02BC">
                  <w:pPr>
                    <w:suppressAutoHyphens w:val="0"/>
                    <w:spacing w:before="120" w:after="120"/>
                    <w:rPr>
                      <w:rFonts w:ascii="Arial" w:hAnsi="Arial" w:cs="Arial"/>
                      <w:b/>
                      <w:bCs/>
                      <w:sz w:val="22"/>
                      <w:szCs w:val="22"/>
                    </w:rPr>
                  </w:pPr>
                  <w:r w:rsidRPr="00C55ADB">
                    <w:rPr>
                      <w:rFonts w:ascii="Arial" w:hAnsi="Arial" w:cs="Arial"/>
                      <w:b/>
                      <w:bCs/>
                      <w:sz w:val="22"/>
                      <w:szCs w:val="22"/>
                    </w:rPr>
                    <w:t>Extrapolated Household Labour Force Survey Data – December 2025</w:t>
                  </w:r>
                </w:p>
              </w:tc>
            </w:tr>
            <w:tr w:rsidR="00EE02BC" w:rsidRPr="00C55ADB" w14:paraId="47715EF0" w14:textId="77777777">
              <w:trPr>
                <w:trHeight w:val="375"/>
              </w:trPr>
              <w:tc>
                <w:tcPr>
                  <w:tcW w:w="2280" w:type="dxa"/>
                  <w:tcBorders>
                    <w:top w:val="single" w:sz="4" w:space="0" w:color="auto"/>
                    <w:left w:val="single" w:sz="4" w:space="0" w:color="auto"/>
                    <w:bottom w:val="single" w:sz="4" w:space="0" w:color="auto"/>
                    <w:right w:val="single" w:sz="4" w:space="0" w:color="auto"/>
                  </w:tcBorders>
                </w:tcPr>
                <w:p w14:paraId="08FB6887" w14:textId="77777777" w:rsidR="00EE02BC" w:rsidRPr="00C55ADB" w:rsidRDefault="00EE02BC">
                  <w:pPr>
                    <w:suppressAutoHyphens w:val="0"/>
                    <w:spacing w:before="120" w:after="120"/>
                    <w:rPr>
                      <w:rFonts w:ascii="Arial" w:hAnsi="Arial" w:cs="Arial"/>
                      <w:bCs/>
                      <w:sz w:val="22"/>
                      <w:szCs w:val="22"/>
                    </w:rPr>
                  </w:pPr>
                </w:p>
              </w:tc>
              <w:tc>
                <w:tcPr>
                  <w:tcW w:w="1559" w:type="dxa"/>
                  <w:tcBorders>
                    <w:top w:val="single" w:sz="4" w:space="0" w:color="auto"/>
                    <w:left w:val="single" w:sz="4" w:space="0" w:color="auto"/>
                    <w:bottom w:val="single" w:sz="4" w:space="0" w:color="auto"/>
                    <w:right w:val="single" w:sz="4" w:space="0" w:color="auto"/>
                  </w:tcBorders>
                  <w:hideMark/>
                </w:tcPr>
                <w:p w14:paraId="2FE5B09A" w14:textId="77777777" w:rsidR="00EE02BC" w:rsidRPr="00C55ADB" w:rsidRDefault="00EE02BC">
                  <w:pPr>
                    <w:suppressAutoHyphens w:val="0"/>
                    <w:spacing w:before="120" w:after="120"/>
                    <w:rPr>
                      <w:rFonts w:ascii="Arial" w:hAnsi="Arial" w:cs="Arial"/>
                      <w:b/>
                      <w:bCs/>
                      <w:sz w:val="22"/>
                      <w:szCs w:val="22"/>
                    </w:rPr>
                  </w:pPr>
                  <w:r w:rsidRPr="00C55ADB">
                    <w:rPr>
                      <w:rFonts w:ascii="Arial" w:hAnsi="Arial" w:cs="Arial"/>
                      <w:b/>
                      <w:bCs/>
                      <w:sz w:val="22"/>
                      <w:szCs w:val="22"/>
                    </w:rPr>
                    <w:t>Māori</w:t>
                  </w:r>
                </w:p>
              </w:tc>
              <w:tc>
                <w:tcPr>
                  <w:tcW w:w="1840" w:type="dxa"/>
                  <w:tcBorders>
                    <w:top w:val="single" w:sz="4" w:space="0" w:color="auto"/>
                    <w:left w:val="single" w:sz="4" w:space="0" w:color="auto"/>
                    <w:bottom w:val="single" w:sz="4" w:space="0" w:color="auto"/>
                    <w:right w:val="single" w:sz="4" w:space="0" w:color="auto"/>
                  </w:tcBorders>
                  <w:hideMark/>
                </w:tcPr>
                <w:p w14:paraId="19B4C835" w14:textId="77777777" w:rsidR="00EE02BC" w:rsidRPr="00C55ADB" w:rsidRDefault="00EE02BC">
                  <w:pPr>
                    <w:suppressAutoHyphens w:val="0"/>
                    <w:spacing w:before="120" w:after="120"/>
                    <w:rPr>
                      <w:rFonts w:ascii="Arial" w:hAnsi="Arial" w:cs="Arial"/>
                      <w:b/>
                      <w:bCs/>
                      <w:sz w:val="22"/>
                      <w:szCs w:val="22"/>
                    </w:rPr>
                  </w:pPr>
                  <w:r w:rsidRPr="00C55ADB">
                    <w:rPr>
                      <w:rFonts w:ascii="Arial" w:hAnsi="Arial" w:cs="Arial"/>
                      <w:b/>
                      <w:bCs/>
                      <w:sz w:val="22"/>
                      <w:szCs w:val="22"/>
                    </w:rPr>
                    <w:t>All NZers</w:t>
                  </w:r>
                </w:p>
              </w:tc>
            </w:tr>
            <w:tr w:rsidR="00EE02BC" w:rsidRPr="00C55ADB" w14:paraId="10C4D465" w14:textId="77777777">
              <w:trPr>
                <w:trHeight w:val="619"/>
              </w:trPr>
              <w:tc>
                <w:tcPr>
                  <w:tcW w:w="2280" w:type="dxa"/>
                  <w:tcBorders>
                    <w:top w:val="single" w:sz="4" w:space="0" w:color="auto"/>
                    <w:left w:val="single" w:sz="4" w:space="0" w:color="auto"/>
                    <w:bottom w:val="single" w:sz="4" w:space="0" w:color="auto"/>
                    <w:right w:val="single" w:sz="4" w:space="0" w:color="auto"/>
                  </w:tcBorders>
                  <w:hideMark/>
                </w:tcPr>
                <w:p w14:paraId="6353F42D" w14:textId="77777777" w:rsidR="00EE02BC" w:rsidRPr="00C55ADB" w:rsidRDefault="00EE02BC">
                  <w:pPr>
                    <w:suppressAutoHyphens w:val="0"/>
                    <w:spacing w:before="120" w:after="120"/>
                    <w:rPr>
                      <w:rFonts w:ascii="Arial" w:hAnsi="Arial" w:cs="Arial"/>
                      <w:bCs/>
                      <w:sz w:val="22"/>
                      <w:szCs w:val="22"/>
                    </w:rPr>
                  </w:pPr>
                  <w:r w:rsidRPr="00C55ADB">
                    <w:rPr>
                      <w:rFonts w:ascii="Arial" w:hAnsi="Arial" w:cs="Arial"/>
                      <w:bCs/>
                      <w:sz w:val="22"/>
                      <w:szCs w:val="22"/>
                    </w:rPr>
                    <w:t>Working age population</w:t>
                  </w:r>
                  <w:r w:rsidRPr="00C55ADB">
                    <w:rPr>
                      <w:rFonts w:ascii="Arial" w:hAnsi="Arial" w:cs="Arial"/>
                      <w:bCs/>
                      <w:sz w:val="22"/>
                      <w:szCs w:val="22"/>
                    </w:rPr>
                    <w:br/>
                    <w:t>(16 yrs and over)</w:t>
                  </w:r>
                </w:p>
              </w:tc>
              <w:tc>
                <w:tcPr>
                  <w:tcW w:w="1559" w:type="dxa"/>
                  <w:tcBorders>
                    <w:top w:val="single" w:sz="4" w:space="0" w:color="auto"/>
                    <w:left w:val="single" w:sz="4" w:space="0" w:color="auto"/>
                    <w:bottom w:val="single" w:sz="4" w:space="0" w:color="auto"/>
                    <w:right w:val="single" w:sz="4" w:space="0" w:color="auto"/>
                  </w:tcBorders>
                  <w:hideMark/>
                </w:tcPr>
                <w:p w14:paraId="26CB5E22" w14:textId="77777777" w:rsidR="00EE02BC" w:rsidRPr="00C55ADB" w:rsidRDefault="00EE02BC">
                  <w:pPr>
                    <w:suppressAutoHyphens w:val="0"/>
                    <w:spacing w:before="120" w:after="120"/>
                    <w:rPr>
                      <w:rFonts w:ascii="Arial" w:hAnsi="Arial" w:cs="Arial"/>
                      <w:bCs/>
                      <w:sz w:val="22"/>
                      <w:szCs w:val="22"/>
                    </w:rPr>
                  </w:pPr>
                  <w:r w:rsidRPr="00C55ADB">
                    <w:rPr>
                      <w:rFonts w:ascii="Arial" w:hAnsi="Arial" w:cs="Arial"/>
                      <w:bCs/>
                      <w:sz w:val="22"/>
                      <w:szCs w:val="22"/>
                    </w:rPr>
                    <w:t>666,600 tangata</w:t>
                  </w:r>
                </w:p>
              </w:tc>
              <w:tc>
                <w:tcPr>
                  <w:tcW w:w="1840" w:type="dxa"/>
                  <w:tcBorders>
                    <w:top w:val="single" w:sz="4" w:space="0" w:color="auto"/>
                    <w:left w:val="single" w:sz="4" w:space="0" w:color="auto"/>
                    <w:bottom w:val="single" w:sz="4" w:space="0" w:color="auto"/>
                    <w:right w:val="single" w:sz="4" w:space="0" w:color="auto"/>
                  </w:tcBorders>
                  <w:hideMark/>
                </w:tcPr>
                <w:p w14:paraId="62E6F486" w14:textId="77777777" w:rsidR="00EE02BC" w:rsidRPr="00C55ADB" w:rsidRDefault="00EE02BC">
                  <w:pPr>
                    <w:suppressAutoHyphens w:val="0"/>
                    <w:spacing w:before="120" w:after="120"/>
                    <w:rPr>
                      <w:rFonts w:ascii="Arial" w:hAnsi="Arial" w:cs="Arial"/>
                      <w:bCs/>
                      <w:sz w:val="22"/>
                      <w:szCs w:val="22"/>
                    </w:rPr>
                  </w:pPr>
                  <w:r w:rsidRPr="00C55ADB">
                    <w:rPr>
                      <w:rFonts w:ascii="Arial" w:hAnsi="Arial" w:cs="Arial"/>
                      <w:bCs/>
                      <w:sz w:val="22"/>
                      <w:szCs w:val="22"/>
                    </w:rPr>
                    <w:t>4,326,000</w:t>
                  </w:r>
                </w:p>
                <w:p w14:paraId="513F9F08" w14:textId="77777777" w:rsidR="00EE02BC" w:rsidRPr="00C55ADB" w:rsidRDefault="00EE02BC">
                  <w:pPr>
                    <w:suppressAutoHyphens w:val="0"/>
                    <w:spacing w:before="120" w:after="120"/>
                    <w:rPr>
                      <w:rFonts w:ascii="Arial" w:hAnsi="Arial" w:cs="Arial"/>
                      <w:bCs/>
                      <w:sz w:val="22"/>
                      <w:szCs w:val="22"/>
                    </w:rPr>
                  </w:pPr>
                  <w:r w:rsidRPr="00C55ADB">
                    <w:rPr>
                      <w:rFonts w:ascii="Arial" w:hAnsi="Arial" w:cs="Arial"/>
                      <w:bCs/>
                      <w:sz w:val="22"/>
                      <w:szCs w:val="22"/>
                    </w:rPr>
                    <w:t>people</w:t>
                  </w:r>
                </w:p>
              </w:tc>
            </w:tr>
            <w:tr w:rsidR="00EE02BC" w:rsidRPr="00C55ADB" w14:paraId="5AEBEB82" w14:textId="77777777">
              <w:trPr>
                <w:trHeight w:val="837"/>
              </w:trPr>
              <w:tc>
                <w:tcPr>
                  <w:tcW w:w="2280" w:type="dxa"/>
                  <w:tcBorders>
                    <w:top w:val="single" w:sz="4" w:space="0" w:color="auto"/>
                    <w:left w:val="single" w:sz="4" w:space="0" w:color="auto"/>
                    <w:bottom w:val="single" w:sz="4" w:space="0" w:color="auto"/>
                    <w:right w:val="single" w:sz="4" w:space="0" w:color="auto"/>
                  </w:tcBorders>
                  <w:hideMark/>
                </w:tcPr>
                <w:p w14:paraId="6A14DC0A" w14:textId="77777777" w:rsidR="00EE02BC" w:rsidRPr="00C55ADB" w:rsidRDefault="00EE02BC">
                  <w:pPr>
                    <w:suppressAutoHyphens w:val="0"/>
                    <w:spacing w:before="120" w:after="120"/>
                    <w:rPr>
                      <w:rFonts w:ascii="Arial" w:hAnsi="Arial" w:cs="Arial"/>
                      <w:bCs/>
                      <w:sz w:val="22"/>
                      <w:szCs w:val="22"/>
                    </w:rPr>
                  </w:pPr>
                  <w:r w:rsidRPr="00C55ADB">
                    <w:rPr>
                      <w:rFonts w:ascii="Arial" w:hAnsi="Arial" w:cs="Arial"/>
                      <w:bCs/>
                      <w:sz w:val="22"/>
                      <w:szCs w:val="22"/>
                    </w:rPr>
                    <w:t>Labour force rate</w:t>
                  </w:r>
                </w:p>
              </w:tc>
              <w:tc>
                <w:tcPr>
                  <w:tcW w:w="1559" w:type="dxa"/>
                  <w:tcBorders>
                    <w:top w:val="single" w:sz="4" w:space="0" w:color="auto"/>
                    <w:left w:val="single" w:sz="4" w:space="0" w:color="auto"/>
                    <w:bottom w:val="single" w:sz="4" w:space="0" w:color="auto"/>
                    <w:right w:val="single" w:sz="4" w:space="0" w:color="auto"/>
                  </w:tcBorders>
                  <w:hideMark/>
                </w:tcPr>
                <w:p w14:paraId="3D4A520F" w14:textId="77777777" w:rsidR="00EE02BC" w:rsidRPr="00C55ADB" w:rsidRDefault="00EE02BC">
                  <w:pPr>
                    <w:suppressAutoHyphens w:val="0"/>
                    <w:spacing w:before="120" w:after="120"/>
                    <w:rPr>
                      <w:rFonts w:ascii="Arial" w:hAnsi="Arial" w:cs="Arial"/>
                      <w:bCs/>
                      <w:sz w:val="22"/>
                      <w:szCs w:val="22"/>
                    </w:rPr>
                  </w:pPr>
                  <w:r w:rsidRPr="00C55ADB">
                    <w:rPr>
                      <w:rFonts w:ascii="Arial" w:hAnsi="Arial" w:cs="Arial"/>
                      <w:bCs/>
                      <w:sz w:val="22"/>
                      <w:szCs w:val="22"/>
                    </w:rPr>
                    <w:t>68.0%</w:t>
                  </w:r>
                  <w:r w:rsidRPr="00C55ADB">
                    <w:rPr>
                      <w:rFonts w:ascii="Arial" w:hAnsi="Arial" w:cs="Arial"/>
                      <w:bCs/>
                      <w:sz w:val="22"/>
                      <w:szCs w:val="22"/>
                    </w:rPr>
                    <w:br/>
                    <w:t>(453,900 tangata)</w:t>
                  </w:r>
                  <w:r w:rsidRPr="00C55ADB">
                    <w:rPr>
                      <w:rFonts w:ascii="Arial" w:hAnsi="Arial" w:cs="Arial"/>
                      <w:bCs/>
                      <w:sz w:val="22"/>
                      <w:szCs w:val="22"/>
                    </w:rPr>
                    <w:br/>
                  </w:r>
                </w:p>
              </w:tc>
              <w:tc>
                <w:tcPr>
                  <w:tcW w:w="1840" w:type="dxa"/>
                  <w:tcBorders>
                    <w:top w:val="single" w:sz="4" w:space="0" w:color="auto"/>
                    <w:left w:val="single" w:sz="4" w:space="0" w:color="auto"/>
                    <w:bottom w:val="single" w:sz="4" w:space="0" w:color="auto"/>
                    <w:right w:val="single" w:sz="4" w:space="0" w:color="auto"/>
                  </w:tcBorders>
                  <w:hideMark/>
                </w:tcPr>
                <w:p w14:paraId="673AEEE6" w14:textId="77777777" w:rsidR="00EE02BC" w:rsidRPr="00C55ADB" w:rsidRDefault="00EE02BC">
                  <w:pPr>
                    <w:suppressAutoHyphens w:val="0"/>
                    <w:spacing w:before="120" w:after="120"/>
                    <w:rPr>
                      <w:rFonts w:ascii="Arial" w:hAnsi="Arial" w:cs="Arial"/>
                      <w:bCs/>
                      <w:sz w:val="22"/>
                      <w:szCs w:val="22"/>
                    </w:rPr>
                  </w:pPr>
                  <w:r w:rsidRPr="00C55ADB">
                    <w:rPr>
                      <w:rFonts w:ascii="Arial" w:hAnsi="Arial" w:cs="Arial"/>
                      <w:bCs/>
                      <w:sz w:val="22"/>
                      <w:szCs w:val="22"/>
                    </w:rPr>
                    <w:t>70.5%</w:t>
                  </w:r>
                  <w:r w:rsidRPr="00C55ADB">
                    <w:rPr>
                      <w:rFonts w:ascii="Arial" w:hAnsi="Arial" w:cs="Arial"/>
                      <w:bCs/>
                      <w:sz w:val="22"/>
                      <w:szCs w:val="22"/>
                    </w:rPr>
                    <w:br/>
                    <w:t>(3,049,000 people)</w:t>
                  </w:r>
                </w:p>
              </w:tc>
            </w:tr>
            <w:tr w:rsidR="00EE02BC" w:rsidRPr="00C55ADB" w14:paraId="4A013B03" w14:textId="77777777">
              <w:trPr>
                <w:trHeight w:val="837"/>
              </w:trPr>
              <w:tc>
                <w:tcPr>
                  <w:tcW w:w="2280" w:type="dxa"/>
                  <w:tcBorders>
                    <w:top w:val="single" w:sz="4" w:space="0" w:color="auto"/>
                    <w:left w:val="single" w:sz="4" w:space="0" w:color="auto"/>
                    <w:bottom w:val="single" w:sz="4" w:space="0" w:color="auto"/>
                    <w:right w:val="single" w:sz="4" w:space="0" w:color="auto"/>
                  </w:tcBorders>
                  <w:hideMark/>
                </w:tcPr>
                <w:p w14:paraId="27B6C108" w14:textId="77777777" w:rsidR="00EE02BC" w:rsidRPr="00C55ADB" w:rsidRDefault="00EE02BC">
                  <w:pPr>
                    <w:suppressAutoHyphens w:val="0"/>
                    <w:spacing w:before="120" w:after="120"/>
                    <w:rPr>
                      <w:rFonts w:ascii="Arial" w:hAnsi="Arial" w:cs="Arial"/>
                      <w:bCs/>
                      <w:sz w:val="22"/>
                      <w:szCs w:val="22"/>
                    </w:rPr>
                  </w:pPr>
                  <w:r w:rsidRPr="00C55ADB">
                    <w:rPr>
                      <w:rFonts w:ascii="Arial" w:hAnsi="Arial" w:cs="Arial"/>
                      <w:bCs/>
                      <w:sz w:val="22"/>
                      <w:szCs w:val="22"/>
                    </w:rPr>
                    <w:t>Employment rate</w:t>
                  </w:r>
                </w:p>
              </w:tc>
              <w:tc>
                <w:tcPr>
                  <w:tcW w:w="1559" w:type="dxa"/>
                  <w:tcBorders>
                    <w:top w:val="single" w:sz="4" w:space="0" w:color="auto"/>
                    <w:left w:val="single" w:sz="4" w:space="0" w:color="auto"/>
                    <w:bottom w:val="single" w:sz="4" w:space="0" w:color="auto"/>
                    <w:right w:val="single" w:sz="4" w:space="0" w:color="auto"/>
                  </w:tcBorders>
                  <w:hideMark/>
                </w:tcPr>
                <w:p w14:paraId="29180B7A" w14:textId="77777777" w:rsidR="00EE02BC" w:rsidRPr="00C55ADB" w:rsidRDefault="00EE02BC">
                  <w:pPr>
                    <w:suppressAutoHyphens w:val="0"/>
                    <w:spacing w:before="120" w:after="120"/>
                    <w:rPr>
                      <w:rFonts w:ascii="Arial" w:hAnsi="Arial" w:cs="Arial"/>
                      <w:bCs/>
                      <w:sz w:val="22"/>
                      <w:szCs w:val="22"/>
                    </w:rPr>
                  </w:pPr>
                  <w:r w:rsidRPr="00C55ADB">
                    <w:rPr>
                      <w:rFonts w:ascii="Arial" w:hAnsi="Arial" w:cs="Arial"/>
                      <w:bCs/>
                      <w:sz w:val="22"/>
                      <w:szCs w:val="22"/>
                    </w:rPr>
                    <w:t>60.4%</w:t>
                  </w:r>
                  <w:r w:rsidRPr="00C55ADB">
                    <w:rPr>
                      <w:rFonts w:ascii="Arial" w:hAnsi="Arial" w:cs="Arial"/>
                      <w:bCs/>
                      <w:sz w:val="22"/>
                      <w:szCs w:val="22"/>
                    </w:rPr>
                    <w:br/>
                    <w:t>(402,200 tangata)</w:t>
                  </w:r>
                </w:p>
              </w:tc>
              <w:tc>
                <w:tcPr>
                  <w:tcW w:w="1840" w:type="dxa"/>
                  <w:tcBorders>
                    <w:top w:val="single" w:sz="4" w:space="0" w:color="auto"/>
                    <w:left w:val="single" w:sz="4" w:space="0" w:color="auto"/>
                    <w:bottom w:val="single" w:sz="4" w:space="0" w:color="auto"/>
                    <w:right w:val="single" w:sz="4" w:space="0" w:color="auto"/>
                  </w:tcBorders>
                  <w:hideMark/>
                </w:tcPr>
                <w:p w14:paraId="1A7D0A4F" w14:textId="77777777" w:rsidR="00EE02BC" w:rsidRPr="00C55ADB" w:rsidRDefault="00EE02BC">
                  <w:pPr>
                    <w:suppressAutoHyphens w:val="0"/>
                    <w:spacing w:before="120" w:after="120"/>
                    <w:rPr>
                      <w:rFonts w:ascii="Arial" w:hAnsi="Arial" w:cs="Arial"/>
                      <w:bCs/>
                      <w:sz w:val="22"/>
                      <w:szCs w:val="22"/>
                    </w:rPr>
                  </w:pPr>
                  <w:r w:rsidRPr="00C55ADB">
                    <w:rPr>
                      <w:rFonts w:ascii="Arial" w:hAnsi="Arial" w:cs="Arial"/>
                      <w:bCs/>
                      <w:sz w:val="22"/>
                      <w:szCs w:val="22"/>
                    </w:rPr>
                    <w:t>66.6%</w:t>
                  </w:r>
                  <w:r w:rsidRPr="00C55ADB">
                    <w:rPr>
                      <w:rFonts w:ascii="Arial" w:hAnsi="Arial" w:cs="Arial"/>
                      <w:bCs/>
                      <w:sz w:val="22"/>
                      <w:szCs w:val="22"/>
                    </w:rPr>
                    <w:br/>
                    <w:t>(2,873,000 people)</w:t>
                  </w:r>
                </w:p>
              </w:tc>
            </w:tr>
            <w:tr w:rsidR="00EE02BC" w:rsidRPr="00C55ADB" w14:paraId="78960DA5" w14:textId="77777777">
              <w:trPr>
                <w:trHeight w:val="825"/>
              </w:trPr>
              <w:tc>
                <w:tcPr>
                  <w:tcW w:w="2280" w:type="dxa"/>
                  <w:tcBorders>
                    <w:top w:val="single" w:sz="4" w:space="0" w:color="auto"/>
                    <w:left w:val="single" w:sz="4" w:space="0" w:color="auto"/>
                    <w:bottom w:val="single" w:sz="4" w:space="0" w:color="auto"/>
                    <w:right w:val="single" w:sz="4" w:space="0" w:color="auto"/>
                  </w:tcBorders>
                  <w:hideMark/>
                </w:tcPr>
                <w:p w14:paraId="2C41B26A" w14:textId="77777777" w:rsidR="00EE02BC" w:rsidRPr="00C55ADB" w:rsidRDefault="00EE02BC">
                  <w:pPr>
                    <w:suppressAutoHyphens w:val="0"/>
                    <w:spacing w:before="120" w:after="120"/>
                    <w:rPr>
                      <w:rFonts w:ascii="Arial" w:hAnsi="Arial" w:cs="Arial"/>
                      <w:bCs/>
                      <w:sz w:val="22"/>
                      <w:szCs w:val="22"/>
                    </w:rPr>
                  </w:pPr>
                  <w:r w:rsidRPr="00C55ADB">
                    <w:rPr>
                      <w:rFonts w:ascii="Arial" w:hAnsi="Arial" w:cs="Arial"/>
                      <w:bCs/>
                      <w:sz w:val="22"/>
                      <w:szCs w:val="22"/>
                    </w:rPr>
                    <w:t>Unemployment rate</w:t>
                  </w:r>
                </w:p>
              </w:tc>
              <w:tc>
                <w:tcPr>
                  <w:tcW w:w="1559" w:type="dxa"/>
                  <w:tcBorders>
                    <w:top w:val="single" w:sz="4" w:space="0" w:color="auto"/>
                    <w:left w:val="single" w:sz="4" w:space="0" w:color="auto"/>
                    <w:bottom w:val="single" w:sz="4" w:space="0" w:color="auto"/>
                    <w:right w:val="single" w:sz="4" w:space="0" w:color="auto"/>
                  </w:tcBorders>
                  <w:hideMark/>
                </w:tcPr>
                <w:p w14:paraId="6F665B8E" w14:textId="77777777" w:rsidR="00EE02BC" w:rsidRPr="00C55ADB" w:rsidRDefault="00EE02BC">
                  <w:pPr>
                    <w:suppressAutoHyphens w:val="0"/>
                    <w:spacing w:before="120" w:after="120"/>
                    <w:rPr>
                      <w:rFonts w:ascii="Arial" w:hAnsi="Arial" w:cs="Arial"/>
                      <w:bCs/>
                      <w:sz w:val="22"/>
                      <w:szCs w:val="22"/>
                    </w:rPr>
                  </w:pPr>
                  <w:r w:rsidRPr="00C55ADB">
                    <w:rPr>
                      <w:rFonts w:ascii="Arial" w:hAnsi="Arial" w:cs="Arial"/>
                      <w:bCs/>
                      <w:sz w:val="22"/>
                      <w:szCs w:val="22"/>
                    </w:rPr>
                    <w:t>11.2%</w:t>
                  </w:r>
                  <w:r w:rsidRPr="00C55ADB">
                    <w:rPr>
                      <w:rFonts w:ascii="Arial" w:hAnsi="Arial" w:cs="Arial"/>
                      <w:bCs/>
                      <w:sz w:val="22"/>
                      <w:szCs w:val="22"/>
                    </w:rPr>
                    <w:br/>
                    <w:t>50,800 tangata)</w:t>
                  </w:r>
                  <w:r w:rsidRPr="00C55ADB">
                    <w:rPr>
                      <w:rFonts w:ascii="Arial" w:hAnsi="Arial" w:cs="Arial"/>
                      <w:bCs/>
                      <w:sz w:val="22"/>
                      <w:szCs w:val="22"/>
                    </w:rPr>
                    <w:br/>
                  </w:r>
                </w:p>
              </w:tc>
              <w:tc>
                <w:tcPr>
                  <w:tcW w:w="1840" w:type="dxa"/>
                  <w:tcBorders>
                    <w:top w:val="single" w:sz="4" w:space="0" w:color="auto"/>
                    <w:left w:val="single" w:sz="4" w:space="0" w:color="auto"/>
                    <w:bottom w:val="single" w:sz="4" w:space="0" w:color="auto"/>
                    <w:right w:val="single" w:sz="4" w:space="0" w:color="auto"/>
                  </w:tcBorders>
                  <w:hideMark/>
                </w:tcPr>
                <w:p w14:paraId="44D348A0" w14:textId="77777777" w:rsidR="00EE02BC" w:rsidRPr="00C55ADB" w:rsidRDefault="00EE02BC">
                  <w:pPr>
                    <w:suppressAutoHyphens w:val="0"/>
                    <w:spacing w:before="120" w:after="120"/>
                    <w:rPr>
                      <w:rFonts w:ascii="Arial" w:hAnsi="Arial" w:cs="Arial"/>
                      <w:bCs/>
                      <w:sz w:val="22"/>
                      <w:szCs w:val="22"/>
                    </w:rPr>
                  </w:pPr>
                  <w:r w:rsidRPr="00C55ADB">
                    <w:rPr>
                      <w:rFonts w:ascii="Arial" w:hAnsi="Arial" w:cs="Arial"/>
                      <w:bCs/>
                      <w:sz w:val="22"/>
                      <w:szCs w:val="22"/>
                    </w:rPr>
                    <w:t>5.4%</w:t>
                  </w:r>
                  <w:r w:rsidRPr="00C55ADB">
                    <w:rPr>
                      <w:rFonts w:ascii="Arial" w:hAnsi="Arial" w:cs="Arial"/>
                      <w:bCs/>
                      <w:sz w:val="22"/>
                      <w:szCs w:val="22"/>
                    </w:rPr>
                    <w:br/>
                    <w:t>(164,600 people)</w:t>
                  </w:r>
                </w:p>
              </w:tc>
            </w:tr>
            <w:tr w:rsidR="00EE02BC" w:rsidRPr="00C55ADB" w14:paraId="3EA2FB5C" w14:textId="77777777">
              <w:trPr>
                <w:trHeight w:val="825"/>
              </w:trPr>
              <w:tc>
                <w:tcPr>
                  <w:tcW w:w="2280" w:type="dxa"/>
                  <w:tcBorders>
                    <w:top w:val="single" w:sz="4" w:space="0" w:color="auto"/>
                    <w:left w:val="single" w:sz="4" w:space="0" w:color="auto"/>
                    <w:bottom w:val="single" w:sz="4" w:space="0" w:color="auto"/>
                    <w:right w:val="single" w:sz="4" w:space="0" w:color="auto"/>
                  </w:tcBorders>
                  <w:hideMark/>
                </w:tcPr>
                <w:p w14:paraId="2F9665E2" w14:textId="77777777" w:rsidR="00EE02BC" w:rsidRPr="00C55ADB" w:rsidRDefault="00EE02BC">
                  <w:pPr>
                    <w:suppressAutoHyphens w:val="0"/>
                    <w:spacing w:before="120" w:after="120"/>
                    <w:rPr>
                      <w:rFonts w:ascii="Arial" w:hAnsi="Arial" w:cs="Arial"/>
                      <w:bCs/>
                      <w:sz w:val="22"/>
                      <w:szCs w:val="22"/>
                    </w:rPr>
                  </w:pPr>
                  <w:r w:rsidRPr="00C55ADB">
                    <w:rPr>
                      <w:rFonts w:ascii="Arial" w:hAnsi="Arial" w:cs="Arial"/>
                      <w:bCs/>
                      <w:sz w:val="22"/>
                      <w:szCs w:val="22"/>
                    </w:rPr>
                    <w:t>Underutilisation rate</w:t>
                  </w:r>
                </w:p>
              </w:tc>
              <w:tc>
                <w:tcPr>
                  <w:tcW w:w="1559" w:type="dxa"/>
                  <w:tcBorders>
                    <w:top w:val="single" w:sz="4" w:space="0" w:color="auto"/>
                    <w:left w:val="single" w:sz="4" w:space="0" w:color="auto"/>
                    <w:bottom w:val="single" w:sz="4" w:space="0" w:color="auto"/>
                    <w:right w:val="single" w:sz="4" w:space="0" w:color="auto"/>
                  </w:tcBorders>
                  <w:hideMark/>
                </w:tcPr>
                <w:p w14:paraId="37CF5B28" w14:textId="77777777" w:rsidR="00EE02BC" w:rsidRPr="00C55ADB" w:rsidRDefault="00EE02BC">
                  <w:pPr>
                    <w:suppressAutoHyphens w:val="0"/>
                    <w:spacing w:before="120" w:after="120"/>
                    <w:rPr>
                      <w:rFonts w:ascii="Arial" w:hAnsi="Arial" w:cs="Arial"/>
                      <w:bCs/>
                      <w:sz w:val="22"/>
                      <w:szCs w:val="22"/>
                    </w:rPr>
                  </w:pPr>
                  <w:r w:rsidRPr="00C55ADB">
                    <w:rPr>
                      <w:rFonts w:ascii="Arial" w:hAnsi="Arial" w:cs="Arial"/>
                      <w:bCs/>
                      <w:sz w:val="22"/>
                      <w:szCs w:val="22"/>
                    </w:rPr>
                    <w:t>21.8%</w:t>
                  </w:r>
                </w:p>
                <w:p w14:paraId="28E8CF05" w14:textId="77777777" w:rsidR="00EE02BC" w:rsidRPr="00C55ADB" w:rsidRDefault="00EE02BC">
                  <w:pPr>
                    <w:suppressAutoHyphens w:val="0"/>
                    <w:spacing w:before="120" w:after="120"/>
                    <w:rPr>
                      <w:rFonts w:ascii="Arial" w:hAnsi="Arial" w:cs="Arial"/>
                      <w:bCs/>
                      <w:sz w:val="22"/>
                      <w:szCs w:val="22"/>
                    </w:rPr>
                  </w:pPr>
                  <w:r w:rsidRPr="00C55ADB">
                    <w:rPr>
                      <w:rFonts w:ascii="Arial" w:hAnsi="Arial" w:cs="Arial"/>
                      <w:bCs/>
                      <w:sz w:val="22"/>
                      <w:szCs w:val="22"/>
                    </w:rPr>
                    <w:t xml:space="preserve">(98,900 </w:t>
                  </w:r>
                </w:p>
                <w:p w14:paraId="065AC338" w14:textId="77777777" w:rsidR="00EE02BC" w:rsidRPr="00C55ADB" w:rsidRDefault="00EE02BC">
                  <w:pPr>
                    <w:suppressAutoHyphens w:val="0"/>
                    <w:spacing w:before="120" w:after="120"/>
                    <w:rPr>
                      <w:rFonts w:ascii="Arial" w:hAnsi="Arial" w:cs="Arial"/>
                      <w:bCs/>
                      <w:sz w:val="22"/>
                      <w:szCs w:val="22"/>
                    </w:rPr>
                  </w:pPr>
                  <w:r w:rsidRPr="00C55ADB">
                    <w:rPr>
                      <w:rFonts w:ascii="Arial" w:hAnsi="Arial" w:cs="Arial"/>
                      <w:bCs/>
                      <w:sz w:val="22"/>
                      <w:szCs w:val="22"/>
                    </w:rPr>
                    <w:t>tangata)</w:t>
                  </w:r>
                </w:p>
                <w:p w14:paraId="62FFEAFF" w14:textId="77777777" w:rsidR="00EE02BC" w:rsidRPr="00C55ADB" w:rsidRDefault="00EE02BC">
                  <w:pPr>
                    <w:suppressAutoHyphens w:val="0"/>
                    <w:spacing w:before="120" w:after="120"/>
                    <w:rPr>
                      <w:rFonts w:ascii="Arial" w:hAnsi="Arial" w:cs="Arial"/>
                      <w:bCs/>
                      <w:sz w:val="22"/>
                      <w:szCs w:val="22"/>
                    </w:rPr>
                  </w:pPr>
                </w:p>
              </w:tc>
              <w:tc>
                <w:tcPr>
                  <w:tcW w:w="1840" w:type="dxa"/>
                  <w:tcBorders>
                    <w:top w:val="single" w:sz="4" w:space="0" w:color="auto"/>
                    <w:left w:val="single" w:sz="4" w:space="0" w:color="auto"/>
                    <w:bottom w:val="single" w:sz="4" w:space="0" w:color="auto"/>
                    <w:right w:val="single" w:sz="4" w:space="0" w:color="auto"/>
                  </w:tcBorders>
                  <w:hideMark/>
                </w:tcPr>
                <w:p w14:paraId="0EE7268F" w14:textId="77777777" w:rsidR="00EE02BC" w:rsidRPr="00C55ADB" w:rsidRDefault="00EE02BC">
                  <w:pPr>
                    <w:suppressAutoHyphens w:val="0"/>
                    <w:spacing w:before="120" w:after="120"/>
                    <w:rPr>
                      <w:rFonts w:ascii="Arial" w:hAnsi="Arial" w:cs="Arial"/>
                      <w:bCs/>
                      <w:sz w:val="22"/>
                      <w:szCs w:val="22"/>
                    </w:rPr>
                  </w:pPr>
                  <w:r w:rsidRPr="00C55ADB">
                    <w:rPr>
                      <w:rFonts w:ascii="Arial" w:hAnsi="Arial" w:cs="Arial"/>
                      <w:bCs/>
                      <w:sz w:val="22"/>
                      <w:szCs w:val="22"/>
                    </w:rPr>
                    <w:t xml:space="preserve">13.0%  </w:t>
                  </w:r>
                  <w:proofErr w:type="gramStart"/>
                  <w:r w:rsidRPr="00C55ADB">
                    <w:rPr>
                      <w:rFonts w:ascii="Arial" w:hAnsi="Arial" w:cs="Arial"/>
                      <w:bCs/>
                      <w:sz w:val="22"/>
                      <w:szCs w:val="22"/>
                    </w:rPr>
                    <w:t xml:space="preserve">   (</w:t>
                  </w:r>
                  <w:proofErr w:type="gramEnd"/>
                  <w:r w:rsidRPr="00C55ADB">
                    <w:rPr>
                      <w:rFonts w:ascii="Arial" w:hAnsi="Arial" w:cs="Arial"/>
                      <w:bCs/>
                      <w:sz w:val="22"/>
                      <w:szCs w:val="22"/>
                    </w:rPr>
                    <w:t>396,300 people)</w:t>
                  </w:r>
                </w:p>
                <w:p w14:paraId="54BF0155" w14:textId="77777777" w:rsidR="00EE02BC" w:rsidRPr="00C55ADB" w:rsidRDefault="00EE02BC">
                  <w:pPr>
                    <w:suppressAutoHyphens w:val="0"/>
                    <w:spacing w:before="120" w:after="120"/>
                    <w:rPr>
                      <w:rFonts w:ascii="Arial" w:hAnsi="Arial" w:cs="Arial"/>
                      <w:bCs/>
                      <w:sz w:val="22"/>
                      <w:szCs w:val="22"/>
                    </w:rPr>
                  </w:pPr>
                  <w:r w:rsidRPr="00C55ADB">
                    <w:rPr>
                      <w:rFonts w:ascii="Arial" w:hAnsi="Arial" w:cs="Arial"/>
                      <w:bCs/>
                      <w:sz w:val="22"/>
                      <w:szCs w:val="22"/>
                    </w:rPr>
                    <w:br/>
                  </w:r>
                </w:p>
              </w:tc>
            </w:tr>
            <w:tr w:rsidR="00EE02BC" w:rsidRPr="00C55ADB" w14:paraId="0A821F8F" w14:textId="77777777">
              <w:trPr>
                <w:trHeight w:val="619"/>
              </w:trPr>
              <w:tc>
                <w:tcPr>
                  <w:tcW w:w="2280" w:type="dxa"/>
                  <w:tcBorders>
                    <w:top w:val="single" w:sz="4" w:space="0" w:color="auto"/>
                    <w:left w:val="single" w:sz="4" w:space="0" w:color="auto"/>
                    <w:bottom w:val="single" w:sz="4" w:space="0" w:color="auto"/>
                    <w:right w:val="single" w:sz="4" w:space="0" w:color="auto"/>
                  </w:tcBorders>
                  <w:hideMark/>
                </w:tcPr>
                <w:p w14:paraId="0D91DE54" w14:textId="77777777" w:rsidR="00EE02BC" w:rsidRPr="00C55ADB" w:rsidRDefault="00EE02BC">
                  <w:pPr>
                    <w:suppressAutoHyphens w:val="0"/>
                    <w:spacing w:before="120" w:after="120"/>
                    <w:rPr>
                      <w:rFonts w:ascii="Arial" w:hAnsi="Arial" w:cs="Arial"/>
                      <w:bCs/>
                      <w:sz w:val="22"/>
                      <w:szCs w:val="22"/>
                    </w:rPr>
                  </w:pPr>
                  <w:r w:rsidRPr="00C55ADB">
                    <w:rPr>
                      <w:rFonts w:ascii="Arial" w:hAnsi="Arial" w:cs="Arial"/>
                      <w:bCs/>
                      <w:sz w:val="22"/>
                      <w:szCs w:val="22"/>
                    </w:rPr>
                    <w:t>Māori as a percentage of all unemployed</w:t>
                  </w:r>
                </w:p>
              </w:tc>
              <w:tc>
                <w:tcPr>
                  <w:tcW w:w="1559" w:type="dxa"/>
                  <w:tcBorders>
                    <w:top w:val="single" w:sz="4" w:space="0" w:color="auto"/>
                    <w:left w:val="single" w:sz="4" w:space="0" w:color="auto"/>
                    <w:bottom w:val="single" w:sz="4" w:space="0" w:color="auto"/>
                    <w:right w:val="single" w:sz="4" w:space="0" w:color="auto"/>
                  </w:tcBorders>
                  <w:hideMark/>
                </w:tcPr>
                <w:p w14:paraId="300AF131" w14:textId="77777777" w:rsidR="00EE02BC" w:rsidRPr="00C55ADB" w:rsidRDefault="00EE02BC">
                  <w:pPr>
                    <w:suppressAutoHyphens w:val="0"/>
                    <w:spacing w:before="120" w:after="120"/>
                    <w:rPr>
                      <w:rFonts w:ascii="Arial" w:hAnsi="Arial" w:cs="Arial"/>
                      <w:bCs/>
                      <w:sz w:val="22"/>
                      <w:szCs w:val="22"/>
                    </w:rPr>
                  </w:pPr>
                  <w:r w:rsidRPr="00C55ADB">
                    <w:rPr>
                      <w:rFonts w:ascii="Arial" w:hAnsi="Arial" w:cs="Arial"/>
                      <w:bCs/>
                      <w:sz w:val="22"/>
                      <w:szCs w:val="22"/>
                    </w:rPr>
                    <w:t>30.7%</w:t>
                  </w:r>
                  <w:r w:rsidRPr="00C55ADB">
                    <w:rPr>
                      <w:rFonts w:ascii="Arial" w:hAnsi="Arial" w:cs="Arial"/>
                      <w:bCs/>
                      <w:sz w:val="22"/>
                      <w:szCs w:val="22"/>
                    </w:rPr>
                    <w:br/>
                  </w:r>
                </w:p>
              </w:tc>
              <w:tc>
                <w:tcPr>
                  <w:tcW w:w="1840" w:type="dxa"/>
                  <w:tcBorders>
                    <w:top w:val="single" w:sz="4" w:space="0" w:color="auto"/>
                    <w:left w:val="single" w:sz="4" w:space="0" w:color="auto"/>
                    <w:bottom w:val="single" w:sz="4" w:space="0" w:color="auto"/>
                    <w:right w:val="single" w:sz="4" w:space="0" w:color="auto"/>
                  </w:tcBorders>
                </w:tcPr>
                <w:p w14:paraId="2ED3B2E1" w14:textId="77777777" w:rsidR="00EE02BC" w:rsidRPr="00C55ADB" w:rsidRDefault="00EE02BC">
                  <w:pPr>
                    <w:suppressAutoHyphens w:val="0"/>
                    <w:spacing w:before="120" w:after="120"/>
                    <w:rPr>
                      <w:rFonts w:ascii="Arial" w:hAnsi="Arial" w:cs="Arial"/>
                      <w:bCs/>
                      <w:sz w:val="22"/>
                      <w:szCs w:val="22"/>
                    </w:rPr>
                  </w:pPr>
                  <w:proofErr w:type="spellStart"/>
                  <w:r w:rsidRPr="00C55ADB">
                    <w:rPr>
                      <w:rFonts w:ascii="Arial" w:hAnsi="Arial" w:cs="Arial"/>
                      <w:bCs/>
                      <w:sz w:val="22"/>
                      <w:szCs w:val="22"/>
                    </w:rPr>
                    <w:t>n.a.</w:t>
                  </w:r>
                  <w:proofErr w:type="spellEnd"/>
                </w:p>
              </w:tc>
            </w:tr>
            <w:tr w:rsidR="00EE02BC" w:rsidRPr="00C55ADB" w14:paraId="0824DAAD" w14:textId="77777777">
              <w:trPr>
                <w:trHeight w:val="619"/>
              </w:trPr>
              <w:tc>
                <w:tcPr>
                  <w:tcW w:w="2280" w:type="dxa"/>
                  <w:tcBorders>
                    <w:top w:val="single" w:sz="4" w:space="0" w:color="auto"/>
                    <w:left w:val="single" w:sz="4" w:space="0" w:color="auto"/>
                    <w:bottom w:val="single" w:sz="4" w:space="0" w:color="auto"/>
                    <w:right w:val="single" w:sz="4" w:space="0" w:color="auto"/>
                  </w:tcBorders>
                  <w:hideMark/>
                </w:tcPr>
                <w:p w14:paraId="3D015ECE" w14:textId="77777777" w:rsidR="00EE02BC" w:rsidRPr="00C55ADB" w:rsidRDefault="00EE02BC">
                  <w:pPr>
                    <w:suppressAutoHyphens w:val="0"/>
                    <w:spacing w:before="120" w:after="120"/>
                    <w:rPr>
                      <w:rFonts w:ascii="Arial" w:hAnsi="Arial" w:cs="Arial"/>
                      <w:bCs/>
                      <w:sz w:val="22"/>
                      <w:szCs w:val="22"/>
                    </w:rPr>
                  </w:pPr>
                  <w:r w:rsidRPr="00C55ADB">
                    <w:rPr>
                      <w:rFonts w:ascii="Arial" w:hAnsi="Arial" w:cs="Arial"/>
                      <w:bCs/>
                      <w:sz w:val="22"/>
                      <w:szCs w:val="22"/>
                    </w:rPr>
                    <w:t>Māori as a percentage of the total underutilised workforce</w:t>
                  </w:r>
                </w:p>
              </w:tc>
              <w:tc>
                <w:tcPr>
                  <w:tcW w:w="1559" w:type="dxa"/>
                  <w:tcBorders>
                    <w:top w:val="single" w:sz="4" w:space="0" w:color="auto"/>
                    <w:left w:val="single" w:sz="4" w:space="0" w:color="auto"/>
                    <w:bottom w:val="single" w:sz="4" w:space="0" w:color="auto"/>
                    <w:right w:val="single" w:sz="4" w:space="0" w:color="auto"/>
                  </w:tcBorders>
                  <w:hideMark/>
                </w:tcPr>
                <w:p w14:paraId="789EE4F7" w14:textId="77777777" w:rsidR="00EE02BC" w:rsidRPr="00C55ADB" w:rsidRDefault="00EE02BC">
                  <w:pPr>
                    <w:suppressAutoHyphens w:val="0"/>
                    <w:spacing w:before="120" w:after="120"/>
                    <w:rPr>
                      <w:rFonts w:ascii="Arial" w:hAnsi="Arial" w:cs="Arial"/>
                      <w:bCs/>
                      <w:sz w:val="22"/>
                      <w:szCs w:val="22"/>
                    </w:rPr>
                  </w:pPr>
                  <w:r w:rsidRPr="00C55ADB">
                    <w:rPr>
                      <w:rFonts w:ascii="Arial" w:hAnsi="Arial" w:cs="Arial"/>
                      <w:bCs/>
                      <w:sz w:val="22"/>
                      <w:szCs w:val="22"/>
                    </w:rPr>
                    <w:t>24.0%</w:t>
                  </w:r>
                </w:p>
              </w:tc>
              <w:tc>
                <w:tcPr>
                  <w:tcW w:w="1840" w:type="dxa"/>
                  <w:tcBorders>
                    <w:top w:val="single" w:sz="4" w:space="0" w:color="auto"/>
                    <w:left w:val="single" w:sz="4" w:space="0" w:color="auto"/>
                    <w:bottom w:val="single" w:sz="4" w:space="0" w:color="auto"/>
                    <w:right w:val="single" w:sz="4" w:space="0" w:color="auto"/>
                  </w:tcBorders>
                </w:tcPr>
                <w:p w14:paraId="02C2D9A9" w14:textId="77777777" w:rsidR="00EE02BC" w:rsidRPr="00C55ADB" w:rsidRDefault="00EE02BC">
                  <w:pPr>
                    <w:suppressAutoHyphens w:val="0"/>
                    <w:spacing w:before="120" w:after="120"/>
                    <w:rPr>
                      <w:rFonts w:ascii="Arial" w:hAnsi="Arial" w:cs="Arial"/>
                      <w:bCs/>
                      <w:sz w:val="22"/>
                      <w:szCs w:val="22"/>
                    </w:rPr>
                  </w:pPr>
                  <w:proofErr w:type="spellStart"/>
                  <w:proofErr w:type="gramStart"/>
                  <w:r w:rsidRPr="00C55ADB">
                    <w:rPr>
                      <w:rFonts w:ascii="Arial" w:hAnsi="Arial" w:cs="Arial"/>
                      <w:bCs/>
                      <w:sz w:val="22"/>
                      <w:szCs w:val="22"/>
                    </w:rPr>
                    <w:t>n.a</w:t>
                  </w:r>
                  <w:proofErr w:type="spellEnd"/>
                  <w:proofErr w:type="gramEnd"/>
                </w:p>
              </w:tc>
            </w:tr>
          </w:tbl>
          <w:p w14:paraId="08E5CDC2" w14:textId="77777777" w:rsidR="00EE02BC" w:rsidRPr="00C55ADB" w:rsidRDefault="00EE02BC">
            <w:pPr>
              <w:suppressAutoHyphens w:val="0"/>
              <w:spacing w:before="120" w:after="120"/>
              <w:rPr>
                <w:rFonts w:ascii="Arial" w:hAnsi="Arial" w:cs="Arial"/>
                <w:bCs/>
                <w:sz w:val="22"/>
                <w:szCs w:val="22"/>
              </w:rPr>
            </w:pPr>
          </w:p>
        </w:tc>
      </w:tr>
      <w:tr w:rsidR="00EE02BC" w:rsidRPr="0065283F" w14:paraId="4777A726" w14:textId="77777777">
        <w:trPr>
          <w:trHeight w:val="454"/>
        </w:trPr>
        <w:tc>
          <w:tcPr>
            <w:tcW w:w="1819" w:type="dxa"/>
            <w:vMerge/>
          </w:tcPr>
          <w:p w14:paraId="4625D806" w14:textId="77777777" w:rsidR="00EE02BC" w:rsidRPr="00C55ADB" w:rsidRDefault="00EE02BC">
            <w:pPr>
              <w:suppressAutoHyphens w:val="0"/>
              <w:rPr>
                <w:rFonts w:ascii="Arial" w:hAnsi="Arial" w:cs="Arial"/>
                <w:b/>
                <w:sz w:val="22"/>
                <w:szCs w:val="22"/>
              </w:rPr>
            </w:pPr>
          </w:p>
        </w:tc>
        <w:tc>
          <w:tcPr>
            <w:tcW w:w="1525" w:type="dxa"/>
          </w:tcPr>
          <w:p w14:paraId="34DD420F" w14:textId="77777777" w:rsidR="00EE02BC" w:rsidRPr="00C55ADB" w:rsidRDefault="00EE02BC">
            <w:pPr>
              <w:suppressAutoHyphens w:val="0"/>
              <w:spacing w:before="120" w:after="120"/>
              <w:rPr>
                <w:rFonts w:ascii="Arial" w:hAnsi="Arial" w:cs="Arial"/>
                <w:sz w:val="22"/>
                <w:szCs w:val="22"/>
              </w:rPr>
            </w:pPr>
            <w:r w:rsidRPr="00C55ADB">
              <w:rPr>
                <w:rFonts w:ascii="Arial" w:hAnsi="Arial" w:cs="Arial"/>
                <w:sz w:val="22"/>
                <w:szCs w:val="22"/>
              </w:rPr>
              <w:t>Quality rating:</w:t>
            </w:r>
          </w:p>
        </w:tc>
        <w:tc>
          <w:tcPr>
            <w:tcW w:w="6337" w:type="dxa"/>
          </w:tcPr>
          <w:p w14:paraId="273C1829" w14:textId="77777777" w:rsidR="00EE02BC" w:rsidRPr="00C55ADB" w:rsidRDefault="00EE02BC">
            <w:pPr>
              <w:suppressAutoHyphens w:val="0"/>
              <w:spacing w:before="120" w:after="120"/>
              <w:rPr>
                <w:rFonts w:ascii="Arial" w:hAnsi="Arial" w:cs="Arial"/>
                <w:bCs/>
                <w:sz w:val="22"/>
                <w:szCs w:val="22"/>
              </w:rPr>
            </w:pPr>
            <w:r w:rsidRPr="00273D53">
              <w:rPr>
                <w:rFonts w:ascii="Arial" w:hAnsi="Arial" w:cs="Arial"/>
                <w:sz w:val="22"/>
                <w:szCs w:val="18"/>
              </w:rPr>
              <w:t>Good</w:t>
            </w:r>
          </w:p>
        </w:tc>
      </w:tr>
      <w:tr w:rsidR="00EE02BC" w:rsidRPr="0065283F" w14:paraId="1667256F" w14:textId="77777777">
        <w:trPr>
          <w:trHeight w:val="454"/>
        </w:trPr>
        <w:tc>
          <w:tcPr>
            <w:tcW w:w="1819" w:type="dxa"/>
            <w:vMerge/>
          </w:tcPr>
          <w:p w14:paraId="545436DE" w14:textId="77777777" w:rsidR="00EE02BC" w:rsidRPr="00C55ADB" w:rsidRDefault="00EE02BC">
            <w:pPr>
              <w:suppressAutoHyphens w:val="0"/>
              <w:rPr>
                <w:rFonts w:ascii="Arial" w:hAnsi="Arial" w:cs="Arial"/>
                <w:b/>
                <w:sz w:val="22"/>
                <w:szCs w:val="22"/>
              </w:rPr>
            </w:pPr>
          </w:p>
        </w:tc>
        <w:tc>
          <w:tcPr>
            <w:tcW w:w="1525" w:type="dxa"/>
          </w:tcPr>
          <w:p w14:paraId="3DC9C93A" w14:textId="77777777" w:rsidR="00EE02BC" w:rsidRPr="00C55ADB" w:rsidRDefault="00EE02BC">
            <w:pPr>
              <w:suppressAutoHyphens w:val="0"/>
              <w:spacing w:before="120" w:after="120"/>
              <w:rPr>
                <w:rFonts w:ascii="Arial" w:hAnsi="Arial" w:cs="Arial"/>
                <w:sz w:val="22"/>
                <w:szCs w:val="22"/>
              </w:rPr>
            </w:pPr>
            <w:r w:rsidRPr="00C55ADB">
              <w:rPr>
                <w:rFonts w:ascii="Arial" w:hAnsi="Arial" w:cs="Arial"/>
                <w:sz w:val="22"/>
                <w:szCs w:val="22"/>
              </w:rPr>
              <w:t>Assessment rationale summary:</w:t>
            </w:r>
          </w:p>
        </w:tc>
        <w:tc>
          <w:tcPr>
            <w:tcW w:w="6337" w:type="dxa"/>
          </w:tcPr>
          <w:p w14:paraId="0139831A" w14:textId="77777777" w:rsidR="00EE02BC" w:rsidRPr="00C55ADB" w:rsidRDefault="00EE02BC">
            <w:pPr>
              <w:suppressAutoHyphens w:val="0"/>
              <w:spacing w:before="120" w:after="120"/>
              <w:rPr>
                <w:rFonts w:ascii="Arial" w:hAnsi="Arial" w:cs="Arial"/>
                <w:bCs/>
                <w:sz w:val="22"/>
                <w:szCs w:val="22"/>
              </w:rPr>
            </w:pPr>
            <w:r w:rsidRPr="00273D53">
              <w:rPr>
                <w:rFonts w:ascii="Arial" w:hAnsi="Arial" w:cs="Arial"/>
                <w:sz w:val="22"/>
                <w:szCs w:val="18"/>
              </w:rPr>
              <w:t>The quarterly release of this data is technically good, as the methodology applied to derive the data is sound and provides useful information. The content is deeply concerning.</w:t>
            </w:r>
          </w:p>
        </w:tc>
      </w:tr>
    </w:tbl>
    <w:p w14:paraId="656EA540" w14:textId="77777777" w:rsidR="00EE02BC" w:rsidRDefault="00EE02BC" w:rsidP="00512709">
      <w:pPr>
        <w:pStyle w:val="BodyText"/>
        <w:suppressAutoHyphens w:val="0"/>
        <w:rPr>
          <w:rFonts w:cs="Arial"/>
          <w:b/>
          <w:szCs w:val="24"/>
        </w:rPr>
      </w:pPr>
    </w:p>
    <w:tbl>
      <w:tblPr>
        <w:tblStyle w:val="TableGrid"/>
        <w:tblW w:w="0" w:type="auto"/>
        <w:tblInd w:w="-856" w:type="dxa"/>
        <w:tblLook w:val="04A0" w:firstRow="1" w:lastRow="0" w:firstColumn="1" w:lastColumn="0" w:noHBand="0" w:noVBand="1"/>
      </w:tblPr>
      <w:tblGrid>
        <w:gridCol w:w="1819"/>
        <w:gridCol w:w="1525"/>
        <w:gridCol w:w="6337"/>
      </w:tblGrid>
      <w:tr w:rsidR="008A7B40" w:rsidRPr="00E64C93" w14:paraId="3455F224" w14:textId="77777777">
        <w:trPr>
          <w:trHeight w:val="454"/>
        </w:trPr>
        <w:tc>
          <w:tcPr>
            <w:tcW w:w="1819" w:type="dxa"/>
            <w:vMerge w:val="restart"/>
          </w:tcPr>
          <w:p w14:paraId="7CC64EC1" w14:textId="40D9BCE9" w:rsidR="008A7B40" w:rsidRPr="00C55ADB" w:rsidRDefault="003F6298">
            <w:pPr>
              <w:suppressAutoHyphens w:val="0"/>
              <w:spacing w:before="120"/>
              <w:rPr>
                <w:rFonts w:ascii="Arial" w:hAnsi="Arial" w:cs="Arial"/>
                <w:b/>
                <w:sz w:val="22"/>
                <w:szCs w:val="22"/>
              </w:rPr>
            </w:pPr>
            <w:r w:rsidRPr="00C55ADB">
              <w:rPr>
                <w:rFonts w:ascii="Arial" w:hAnsi="Arial" w:cs="Arial"/>
                <w:b/>
                <w:sz w:val="22"/>
                <w:szCs w:val="22"/>
              </w:rPr>
              <w:t>Employment</w:t>
            </w:r>
          </w:p>
          <w:p w14:paraId="5EC84F94" w14:textId="77777777" w:rsidR="008A7B40" w:rsidRPr="00C55ADB" w:rsidRDefault="008A7B40">
            <w:pPr>
              <w:suppressAutoHyphens w:val="0"/>
              <w:rPr>
                <w:rFonts w:ascii="Arial" w:hAnsi="Arial" w:cs="Arial"/>
                <w:b/>
                <w:sz w:val="22"/>
                <w:szCs w:val="22"/>
              </w:rPr>
            </w:pPr>
          </w:p>
          <w:p w14:paraId="45A1B835" w14:textId="5307167A" w:rsidR="008A7B40" w:rsidRPr="00C55ADB" w:rsidRDefault="008A7B40">
            <w:pPr>
              <w:rPr>
                <w:rFonts w:ascii="Arial" w:hAnsi="Arial" w:cs="Arial"/>
                <w:b/>
                <w:sz w:val="22"/>
                <w:szCs w:val="22"/>
              </w:rPr>
            </w:pPr>
            <w:r w:rsidRPr="00C55ADB">
              <w:rPr>
                <w:rFonts w:ascii="Arial" w:hAnsi="Arial" w:cs="Arial"/>
                <w:b/>
                <w:sz w:val="22"/>
                <w:szCs w:val="22"/>
              </w:rPr>
              <w:t>Pānui 03/2026</w:t>
            </w:r>
          </w:p>
        </w:tc>
        <w:tc>
          <w:tcPr>
            <w:tcW w:w="1525" w:type="dxa"/>
          </w:tcPr>
          <w:p w14:paraId="6824A21E" w14:textId="77777777" w:rsidR="008A7B40" w:rsidRPr="00C55ADB" w:rsidRDefault="008A7B40">
            <w:pPr>
              <w:suppressAutoHyphens w:val="0"/>
              <w:spacing w:before="120" w:after="120"/>
              <w:rPr>
                <w:rFonts w:ascii="Arial" w:hAnsi="Arial" w:cs="Arial"/>
                <w:i/>
                <w:sz w:val="22"/>
                <w:szCs w:val="22"/>
              </w:rPr>
            </w:pPr>
            <w:r w:rsidRPr="00C55ADB">
              <w:rPr>
                <w:rFonts w:ascii="Arial" w:hAnsi="Arial" w:cs="Arial"/>
                <w:b/>
                <w:sz w:val="22"/>
                <w:szCs w:val="22"/>
              </w:rPr>
              <w:t>Item:</w:t>
            </w:r>
          </w:p>
        </w:tc>
        <w:tc>
          <w:tcPr>
            <w:tcW w:w="6337" w:type="dxa"/>
          </w:tcPr>
          <w:p w14:paraId="606C4312" w14:textId="77777777" w:rsidR="008A7B40" w:rsidRPr="00C55ADB" w:rsidRDefault="008A7B40">
            <w:pPr>
              <w:pStyle w:val="BodyText"/>
              <w:spacing w:before="120"/>
              <w:rPr>
                <w:rFonts w:cs="Arial"/>
                <w:sz w:val="22"/>
                <w:szCs w:val="22"/>
              </w:rPr>
            </w:pPr>
            <w:bookmarkStart w:id="8" w:name="ap7"/>
            <w:r w:rsidRPr="00C55ADB">
              <w:rPr>
                <w:rFonts w:cs="Arial"/>
                <w:b/>
                <w:sz w:val="22"/>
                <w:szCs w:val="22"/>
              </w:rPr>
              <w:t xml:space="preserve">Māori Labour Market Statistics Snapshot </w:t>
            </w:r>
            <w:bookmarkEnd w:id="8"/>
            <w:r w:rsidRPr="00C55ADB">
              <w:rPr>
                <w:rFonts w:cs="Arial"/>
                <w:b/>
                <w:sz w:val="22"/>
                <w:szCs w:val="22"/>
              </w:rPr>
              <w:t>(December 2025)</w:t>
            </w:r>
          </w:p>
        </w:tc>
      </w:tr>
      <w:tr w:rsidR="008A7B40" w:rsidRPr="00E64C93" w14:paraId="3754B395" w14:textId="77777777">
        <w:trPr>
          <w:trHeight w:val="454"/>
        </w:trPr>
        <w:tc>
          <w:tcPr>
            <w:tcW w:w="1819" w:type="dxa"/>
            <w:vMerge/>
          </w:tcPr>
          <w:p w14:paraId="6037186E" w14:textId="77777777" w:rsidR="008A7B40" w:rsidRPr="00C55ADB" w:rsidRDefault="008A7B40">
            <w:pPr>
              <w:rPr>
                <w:rFonts w:ascii="Arial" w:hAnsi="Arial" w:cs="Arial"/>
                <w:b/>
                <w:sz w:val="22"/>
                <w:szCs w:val="22"/>
              </w:rPr>
            </w:pPr>
          </w:p>
        </w:tc>
        <w:tc>
          <w:tcPr>
            <w:tcW w:w="1525" w:type="dxa"/>
          </w:tcPr>
          <w:p w14:paraId="3CB12D7F" w14:textId="77777777" w:rsidR="008A7B40" w:rsidRPr="00C55ADB" w:rsidRDefault="008A7B40">
            <w:pPr>
              <w:suppressAutoHyphens w:val="0"/>
              <w:spacing w:before="120" w:after="120"/>
              <w:rPr>
                <w:rFonts w:ascii="Arial" w:hAnsi="Arial" w:cs="Arial"/>
                <w:i/>
                <w:sz w:val="22"/>
                <w:szCs w:val="22"/>
              </w:rPr>
            </w:pPr>
            <w:r w:rsidRPr="00C55ADB">
              <w:rPr>
                <w:rFonts w:ascii="Arial" w:hAnsi="Arial" w:cs="Arial"/>
                <w:sz w:val="22"/>
                <w:szCs w:val="22"/>
              </w:rPr>
              <w:t>Publisher:</w:t>
            </w:r>
          </w:p>
        </w:tc>
        <w:tc>
          <w:tcPr>
            <w:tcW w:w="6337" w:type="dxa"/>
          </w:tcPr>
          <w:p w14:paraId="742B2C70" w14:textId="77777777" w:rsidR="008A7B40" w:rsidRPr="00C55ADB" w:rsidRDefault="008A7B40">
            <w:pPr>
              <w:pStyle w:val="BodyText"/>
              <w:spacing w:before="120"/>
              <w:rPr>
                <w:rFonts w:cs="Arial"/>
                <w:sz w:val="22"/>
                <w:szCs w:val="22"/>
              </w:rPr>
            </w:pPr>
            <w:r w:rsidRPr="00C55ADB">
              <w:rPr>
                <w:rFonts w:cs="Arial"/>
                <w:sz w:val="22"/>
                <w:szCs w:val="22"/>
              </w:rPr>
              <w:t>Ministry of Business, Innovation and Employment (MBIE)</w:t>
            </w:r>
          </w:p>
        </w:tc>
      </w:tr>
      <w:tr w:rsidR="008A7B40" w:rsidRPr="0065283F" w14:paraId="50238238" w14:textId="77777777">
        <w:trPr>
          <w:trHeight w:val="454"/>
        </w:trPr>
        <w:tc>
          <w:tcPr>
            <w:tcW w:w="1819" w:type="dxa"/>
            <w:vMerge/>
          </w:tcPr>
          <w:p w14:paraId="477A2E60" w14:textId="77777777" w:rsidR="008A7B40" w:rsidRPr="00C55ADB" w:rsidRDefault="008A7B40">
            <w:pPr>
              <w:suppressAutoHyphens w:val="0"/>
              <w:rPr>
                <w:rFonts w:ascii="Arial" w:hAnsi="Arial" w:cs="Arial"/>
                <w:b/>
                <w:sz w:val="22"/>
                <w:szCs w:val="22"/>
              </w:rPr>
            </w:pPr>
          </w:p>
        </w:tc>
        <w:tc>
          <w:tcPr>
            <w:tcW w:w="1525" w:type="dxa"/>
          </w:tcPr>
          <w:p w14:paraId="3551EB26" w14:textId="77777777" w:rsidR="008A7B40" w:rsidRPr="00C55ADB" w:rsidRDefault="008A7B40">
            <w:pPr>
              <w:suppressAutoHyphens w:val="0"/>
              <w:spacing w:before="120" w:after="120"/>
              <w:rPr>
                <w:rFonts w:ascii="Arial" w:hAnsi="Arial" w:cs="Arial"/>
                <w:i/>
                <w:sz w:val="22"/>
                <w:szCs w:val="22"/>
              </w:rPr>
            </w:pPr>
            <w:r w:rsidRPr="00C55ADB">
              <w:rPr>
                <w:rFonts w:ascii="Arial" w:hAnsi="Arial" w:cs="Arial"/>
                <w:sz w:val="22"/>
                <w:szCs w:val="22"/>
              </w:rPr>
              <w:t>Content summary:</w:t>
            </w:r>
          </w:p>
        </w:tc>
        <w:tc>
          <w:tcPr>
            <w:tcW w:w="6337" w:type="dxa"/>
          </w:tcPr>
          <w:p w14:paraId="22B6D537" w14:textId="77777777" w:rsidR="008A7B40" w:rsidRPr="00C55ADB" w:rsidRDefault="008A7B40">
            <w:pPr>
              <w:suppressAutoHyphens w:val="0"/>
              <w:spacing w:before="120" w:after="120"/>
              <w:rPr>
                <w:rFonts w:ascii="Arial" w:hAnsi="Arial" w:cs="Arial"/>
                <w:bCs/>
                <w:sz w:val="22"/>
                <w:szCs w:val="22"/>
              </w:rPr>
            </w:pPr>
            <w:r w:rsidRPr="00C55ADB">
              <w:rPr>
                <w:rFonts w:ascii="Arial" w:hAnsi="Arial" w:cs="Arial"/>
                <w:bCs/>
                <w:sz w:val="22"/>
                <w:szCs w:val="22"/>
              </w:rPr>
              <w:t xml:space="preserve">This infographic page brings together a range of pre-published data on Māori employment /unemployment and Māori Not in Education, Employment or Training (NEET). </w:t>
            </w:r>
          </w:p>
          <w:p w14:paraId="5B1E7299" w14:textId="77777777" w:rsidR="008A7B40" w:rsidRPr="00C55ADB" w:rsidRDefault="008A7B40">
            <w:pPr>
              <w:suppressAutoHyphens w:val="0"/>
              <w:spacing w:before="120" w:after="120"/>
              <w:rPr>
                <w:rFonts w:ascii="Arial" w:hAnsi="Arial" w:cs="Arial"/>
                <w:bCs/>
                <w:sz w:val="22"/>
                <w:szCs w:val="22"/>
              </w:rPr>
            </w:pPr>
            <w:r w:rsidRPr="00C55ADB">
              <w:rPr>
                <w:rFonts w:ascii="Arial" w:hAnsi="Arial" w:cs="Arial"/>
                <w:bCs/>
                <w:sz w:val="22"/>
                <w:szCs w:val="22"/>
              </w:rPr>
              <w:t>Usefully, this resource disaggregates data by gender and age, and because of that provides a more complete picture of Māori employment and unemployment patterns.</w:t>
            </w:r>
          </w:p>
          <w:p w14:paraId="3A1F4CB2" w14:textId="77777777" w:rsidR="008A7B40" w:rsidRPr="00C55ADB" w:rsidRDefault="008A7B40">
            <w:pPr>
              <w:suppressAutoHyphens w:val="0"/>
              <w:spacing w:before="120" w:after="120"/>
              <w:rPr>
                <w:rFonts w:ascii="Arial" w:hAnsi="Arial" w:cs="Arial"/>
                <w:bCs/>
                <w:sz w:val="22"/>
                <w:szCs w:val="22"/>
              </w:rPr>
            </w:pPr>
            <w:r w:rsidRPr="00C55ADB">
              <w:rPr>
                <w:rFonts w:ascii="Arial" w:hAnsi="Arial" w:cs="Arial"/>
                <w:bCs/>
                <w:sz w:val="22"/>
                <w:szCs w:val="22"/>
              </w:rPr>
              <w:t>Some key findings for the quarter to 30 December 2025 are:</w:t>
            </w:r>
          </w:p>
          <w:p w14:paraId="5DCE1ED5" w14:textId="77777777" w:rsidR="008A7B40" w:rsidRPr="00C55ADB" w:rsidRDefault="008A7B40">
            <w:pPr>
              <w:suppressAutoHyphens w:val="0"/>
              <w:spacing w:before="120" w:after="120"/>
              <w:rPr>
                <w:rFonts w:ascii="Arial" w:hAnsi="Arial" w:cs="Arial"/>
                <w:b/>
                <w:bCs/>
                <w:sz w:val="22"/>
                <w:szCs w:val="22"/>
              </w:rPr>
            </w:pPr>
            <w:r w:rsidRPr="00C55ADB">
              <w:rPr>
                <w:rFonts w:ascii="Arial" w:hAnsi="Arial" w:cs="Arial"/>
                <w:b/>
                <w:bCs/>
                <w:sz w:val="22"/>
                <w:szCs w:val="22"/>
              </w:rPr>
              <w:t>Employment rate</w:t>
            </w:r>
            <w:r w:rsidRPr="00C55ADB">
              <w:rPr>
                <w:rFonts w:ascii="Arial" w:hAnsi="Arial" w:cs="Arial"/>
                <w:b/>
                <w:bCs/>
                <w:sz w:val="22"/>
                <w:szCs w:val="22"/>
                <w:vertAlign w:val="superscript"/>
              </w:rPr>
              <w:footnoteReference w:id="2"/>
            </w:r>
          </w:p>
          <w:p w14:paraId="4781A6DF" w14:textId="77777777" w:rsidR="008A7B40" w:rsidRPr="00C55ADB" w:rsidRDefault="008A7B40" w:rsidP="008A7B40">
            <w:pPr>
              <w:numPr>
                <w:ilvl w:val="0"/>
                <w:numId w:val="8"/>
              </w:numPr>
              <w:suppressAutoHyphens w:val="0"/>
              <w:spacing w:before="120" w:after="120"/>
              <w:rPr>
                <w:rFonts w:ascii="Arial" w:hAnsi="Arial" w:cs="Arial"/>
                <w:bCs/>
                <w:sz w:val="22"/>
                <w:szCs w:val="22"/>
              </w:rPr>
            </w:pPr>
            <w:r w:rsidRPr="00C55ADB">
              <w:rPr>
                <w:rFonts w:ascii="Arial" w:hAnsi="Arial" w:cs="Arial"/>
                <w:bCs/>
                <w:sz w:val="22"/>
                <w:szCs w:val="22"/>
              </w:rPr>
              <w:t xml:space="preserve">Māori (annualised) employment rate decreased to 60.3% with 398,400 employed. </w:t>
            </w:r>
          </w:p>
          <w:p w14:paraId="53EB9C84" w14:textId="77777777" w:rsidR="008A7B40" w:rsidRPr="00C55ADB" w:rsidRDefault="008A7B40" w:rsidP="008A7B40">
            <w:pPr>
              <w:numPr>
                <w:ilvl w:val="0"/>
                <w:numId w:val="8"/>
              </w:numPr>
              <w:suppressAutoHyphens w:val="0"/>
              <w:spacing w:before="120" w:after="120"/>
              <w:rPr>
                <w:rFonts w:ascii="Arial" w:hAnsi="Arial" w:cs="Arial"/>
                <w:bCs/>
                <w:sz w:val="22"/>
                <w:szCs w:val="22"/>
              </w:rPr>
            </w:pPr>
            <w:r w:rsidRPr="00C55ADB">
              <w:rPr>
                <w:rFonts w:ascii="Arial" w:hAnsi="Arial" w:cs="Arial"/>
                <w:bCs/>
                <w:sz w:val="22"/>
                <w:szCs w:val="22"/>
              </w:rPr>
              <w:t xml:space="preserve">The tāne Māori employment rate is 63.2% (203,800 tāne). </w:t>
            </w:r>
          </w:p>
          <w:p w14:paraId="10E05630" w14:textId="77777777" w:rsidR="008A7B40" w:rsidRPr="00C55ADB" w:rsidRDefault="008A7B40" w:rsidP="008A7B40">
            <w:pPr>
              <w:numPr>
                <w:ilvl w:val="0"/>
                <w:numId w:val="8"/>
              </w:numPr>
              <w:suppressAutoHyphens w:val="0"/>
              <w:spacing w:before="120" w:after="120"/>
              <w:rPr>
                <w:rFonts w:ascii="Arial" w:hAnsi="Arial" w:cs="Arial"/>
                <w:bCs/>
                <w:sz w:val="22"/>
                <w:szCs w:val="22"/>
              </w:rPr>
            </w:pPr>
            <w:r w:rsidRPr="00C55ADB">
              <w:rPr>
                <w:rFonts w:ascii="Arial" w:hAnsi="Arial" w:cs="Arial"/>
                <w:bCs/>
                <w:sz w:val="22"/>
                <w:szCs w:val="22"/>
              </w:rPr>
              <w:t>The wāhine Māori employment rate is 57.5% (194,600 wāhine).</w:t>
            </w:r>
          </w:p>
          <w:p w14:paraId="095727F0" w14:textId="77777777" w:rsidR="008A7B40" w:rsidRPr="00C55ADB" w:rsidRDefault="008A7B40" w:rsidP="008A7B40">
            <w:pPr>
              <w:numPr>
                <w:ilvl w:val="0"/>
                <w:numId w:val="8"/>
              </w:numPr>
              <w:suppressAutoHyphens w:val="0"/>
              <w:spacing w:before="120" w:after="120"/>
              <w:rPr>
                <w:rFonts w:ascii="Arial" w:hAnsi="Arial" w:cs="Arial"/>
                <w:bCs/>
                <w:sz w:val="22"/>
                <w:szCs w:val="22"/>
              </w:rPr>
            </w:pPr>
            <w:r w:rsidRPr="00C55ADB">
              <w:rPr>
                <w:rFonts w:ascii="Arial" w:hAnsi="Arial" w:cs="Arial"/>
                <w:bCs/>
                <w:sz w:val="22"/>
                <w:szCs w:val="22"/>
              </w:rPr>
              <w:t>Māori employment rate by age: 25 to 44 years 72.5% (168,300), 45 years+ 57.2% (150,500).</w:t>
            </w:r>
          </w:p>
          <w:p w14:paraId="6FA3D403" w14:textId="77777777" w:rsidR="008A7B40" w:rsidRPr="00C55ADB" w:rsidRDefault="008A7B40" w:rsidP="008A7B40">
            <w:pPr>
              <w:numPr>
                <w:ilvl w:val="0"/>
                <w:numId w:val="8"/>
              </w:numPr>
              <w:suppressAutoHyphens w:val="0"/>
              <w:spacing w:before="120" w:after="120"/>
              <w:rPr>
                <w:rFonts w:ascii="Arial" w:hAnsi="Arial" w:cs="Arial"/>
                <w:bCs/>
                <w:sz w:val="22"/>
                <w:szCs w:val="22"/>
              </w:rPr>
            </w:pPr>
            <w:r w:rsidRPr="00C55ADB">
              <w:rPr>
                <w:rFonts w:ascii="Arial" w:hAnsi="Arial" w:cs="Arial"/>
                <w:bCs/>
                <w:sz w:val="22"/>
                <w:szCs w:val="22"/>
              </w:rPr>
              <w:t xml:space="preserve">316,200 tangata Māori </w:t>
            </w:r>
            <w:r w:rsidRPr="00C55ADB">
              <w:rPr>
                <w:rFonts w:ascii="Arial" w:hAnsi="Arial" w:cs="Arial"/>
                <w:bCs/>
                <w:sz w:val="22"/>
                <w:szCs w:val="22"/>
                <w:lang w:val="mi-NZ"/>
              </w:rPr>
              <w:t>were in full-time employment.</w:t>
            </w:r>
          </w:p>
          <w:p w14:paraId="7B096F46" w14:textId="77777777" w:rsidR="008A7B40" w:rsidRPr="00C55ADB" w:rsidRDefault="008A7B40">
            <w:pPr>
              <w:suppressAutoHyphens w:val="0"/>
              <w:spacing w:before="120" w:after="120"/>
              <w:rPr>
                <w:rFonts w:ascii="Arial" w:hAnsi="Arial" w:cs="Arial"/>
                <w:b/>
                <w:bCs/>
                <w:sz w:val="22"/>
                <w:szCs w:val="22"/>
              </w:rPr>
            </w:pPr>
            <w:r w:rsidRPr="00C55ADB">
              <w:rPr>
                <w:rFonts w:ascii="Arial" w:hAnsi="Arial" w:cs="Arial"/>
                <w:b/>
                <w:bCs/>
                <w:sz w:val="22"/>
                <w:szCs w:val="22"/>
              </w:rPr>
              <w:t>Skill levels</w:t>
            </w:r>
            <w:r w:rsidRPr="00C55ADB">
              <w:rPr>
                <w:rFonts w:ascii="Arial" w:hAnsi="Arial" w:cs="Arial"/>
                <w:b/>
                <w:bCs/>
                <w:sz w:val="22"/>
                <w:szCs w:val="22"/>
                <w:vertAlign w:val="superscript"/>
              </w:rPr>
              <w:footnoteReference w:id="3"/>
            </w:r>
          </w:p>
          <w:p w14:paraId="33FEB7C2" w14:textId="77777777" w:rsidR="008A7B40" w:rsidRPr="00C55ADB" w:rsidRDefault="008A7B40" w:rsidP="008A7B40">
            <w:pPr>
              <w:numPr>
                <w:ilvl w:val="0"/>
                <w:numId w:val="8"/>
              </w:numPr>
              <w:suppressAutoHyphens w:val="0"/>
              <w:spacing w:before="120" w:after="120"/>
              <w:rPr>
                <w:rFonts w:ascii="Arial" w:hAnsi="Arial" w:cs="Arial"/>
                <w:bCs/>
                <w:sz w:val="22"/>
                <w:szCs w:val="22"/>
              </w:rPr>
            </w:pPr>
            <w:r w:rsidRPr="00C55ADB">
              <w:rPr>
                <w:rFonts w:ascii="Arial" w:hAnsi="Arial" w:cs="Arial"/>
                <w:bCs/>
                <w:sz w:val="22"/>
                <w:szCs w:val="22"/>
              </w:rPr>
              <w:t>182,400 were employed in skilled or highly skilled jobs.</w:t>
            </w:r>
          </w:p>
          <w:p w14:paraId="4DDC5389" w14:textId="77777777" w:rsidR="008A7B40" w:rsidRPr="00C55ADB" w:rsidRDefault="008A7B40" w:rsidP="008A7B40">
            <w:pPr>
              <w:numPr>
                <w:ilvl w:val="0"/>
                <w:numId w:val="8"/>
              </w:numPr>
              <w:suppressAutoHyphens w:val="0"/>
              <w:spacing w:before="120" w:after="120"/>
              <w:rPr>
                <w:rFonts w:ascii="Arial" w:hAnsi="Arial" w:cs="Arial"/>
                <w:bCs/>
                <w:sz w:val="22"/>
                <w:szCs w:val="22"/>
              </w:rPr>
            </w:pPr>
            <w:r w:rsidRPr="00C55ADB">
              <w:rPr>
                <w:rFonts w:ascii="Arial" w:hAnsi="Arial" w:cs="Arial"/>
                <w:bCs/>
                <w:sz w:val="22"/>
                <w:szCs w:val="22"/>
              </w:rPr>
              <w:t>48,000 were in semi-skilled jobs.</w:t>
            </w:r>
          </w:p>
          <w:p w14:paraId="187D823E" w14:textId="77777777" w:rsidR="008A7B40" w:rsidRPr="00C55ADB" w:rsidRDefault="008A7B40" w:rsidP="008A7B40">
            <w:pPr>
              <w:numPr>
                <w:ilvl w:val="0"/>
                <w:numId w:val="8"/>
              </w:numPr>
              <w:suppressAutoHyphens w:val="0"/>
              <w:spacing w:before="120" w:after="120"/>
              <w:rPr>
                <w:rFonts w:ascii="Arial" w:hAnsi="Arial" w:cs="Arial"/>
                <w:bCs/>
                <w:sz w:val="22"/>
                <w:szCs w:val="22"/>
              </w:rPr>
            </w:pPr>
            <w:r w:rsidRPr="00C55ADB">
              <w:rPr>
                <w:rFonts w:ascii="Arial" w:hAnsi="Arial" w:cs="Arial"/>
                <w:bCs/>
                <w:sz w:val="22"/>
                <w:szCs w:val="22"/>
              </w:rPr>
              <w:t>166,100 were in low or unskilled jobs.</w:t>
            </w:r>
          </w:p>
          <w:p w14:paraId="21FA4557" w14:textId="77777777" w:rsidR="008A7B40" w:rsidRPr="00C55ADB" w:rsidRDefault="008A7B40">
            <w:pPr>
              <w:suppressAutoHyphens w:val="0"/>
              <w:spacing w:before="120" w:after="120"/>
              <w:rPr>
                <w:rFonts w:ascii="Arial" w:hAnsi="Arial" w:cs="Arial"/>
                <w:b/>
                <w:bCs/>
                <w:sz w:val="22"/>
                <w:szCs w:val="22"/>
              </w:rPr>
            </w:pPr>
            <w:r w:rsidRPr="00C55ADB">
              <w:rPr>
                <w:rFonts w:ascii="Arial" w:hAnsi="Arial" w:cs="Arial"/>
                <w:b/>
                <w:bCs/>
                <w:sz w:val="22"/>
                <w:szCs w:val="22"/>
              </w:rPr>
              <w:t>Labour Force Participation Rate (LFPR)</w:t>
            </w:r>
            <w:r w:rsidRPr="00C55ADB">
              <w:rPr>
                <w:rFonts w:ascii="Arial" w:hAnsi="Arial" w:cs="Arial"/>
                <w:b/>
                <w:bCs/>
                <w:sz w:val="22"/>
                <w:szCs w:val="22"/>
                <w:vertAlign w:val="superscript"/>
              </w:rPr>
              <w:footnoteReference w:id="4"/>
            </w:r>
          </w:p>
          <w:p w14:paraId="1942D2A8" w14:textId="77777777" w:rsidR="008A7B40" w:rsidRPr="00C55ADB" w:rsidRDefault="008A7B40" w:rsidP="008A7B40">
            <w:pPr>
              <w:numPr>
                <w:ilvl w:val="0"/>
                <w:numId w:val="8"/>
              </w:numPr>
              <w:suppressAutoHyphens w:val="0"/>
              <w:spacing w:before="120" w:after="120"/>
              <w:rPr>
                <w:rFonts w:ascii="Arial" w:hAnsi="Arial" w:cs="Arial"/>
                <w:bCs/>
                <w:sz w:val="22"/>
                <w:szCs w:val="22"/>
              </w:rPr>
            </w:pPr>
            <w:r w:rsidRPr="00C55ADB">
              <w:rPr>
                <w:rFonts w:ascii="Arial" w:hAnsi="Arial" w:cs="Arial"/>
                <w:bCs/>
                <w:sz w:val="22"/>
                <w:szCs w:val="22"/>
              </w:rPr>
              <w:t>Māori LFPR is 67.4% (445,400 tangata).</w:t>
            </w:r>
          </w:p>
          <w:p w14:paraId="3398256A" w14:textId="77777777" w:rsidR="008A7B40" w:rsidRPr="00C55ADB" w:rsidRDefault="008A7B40" w:rsidP="008A7B40">
            <w:pPr>
              <w:numPr>
                <w:ilvl w:val="0"/>
                <w:numId w:val="8"/>
              </w:numPr>
              <w:suppressAutoHyphens w:val="0"/>
              <w:spacing w:before="120" w:after="120"/>
              <w:rPr>
                <w:rFonts w:ascii="Arial" w:hAnsi="Arial" w:cs="Arial"/>
                <w:bCs/>
                <w:sz w:val="22"/>
                <w:szCs w:val="22"/>
              </w:rPr>
            </w:pPr>
            <w:r w:rsidRPr="00C55ADB">
              <w:rPr>
                <w:rFonts w:ascii="Arial" w:hAnsi="Arial" w:cs="Arial"/>
                <w:bCs/>
                <w:sz w:val="22"/>
                <w:szCs w:val="22"/>
              </w:rPr>
              <w:t xml:space="preserve">The tāne Māori LFPR is 70.7% (227,900 tāne). </w:t>
            </w:r>
          </w:p>
          <w:p w14:paraId="6EE017B1" w14:textId="77777777" w:rsidR="008A7B40" w:rsidRPr="00C55ADB" w:rsidRDefault="008A7B40" w:rsidP="008A7B40">
            <w:pPr>
              <w:numPr>
                <w:ilvl w:val="0"/>
                <w:numId w:val="8"/>
              </w:numPr>
              <w:suppressAutoHyphens w:val="0"/>
              <w:spacing w:before="120" w:after="120"/>
              <w:rPr>
                <w:rFonts w:ascii="Arial" w:hAnsi="Arial" w:cs="Arial"/>
                <w:bCs/>
                <w:sz w:val="22"/>
                <w:szCs w:val="22"/>
              </w:rPr>
            </w:pPr>
            <w:r w:rsidRPr="00C55ADB">
              <w:rPr>
                <w:rFonts w:ascii="Arial" w:hAnsi="Arial" w:cs="Arial"/>
                <w:bCs/>
                <w:sz w:val="22"/>
                <w:szCs w:val="22"/>
              </w:rPr>
              <w:t>The wāhine Māori LFPR is 64.3% (217,500 wāhine).</w:t>
            </w:r>
          </w:p>
          <w:p w14:paraId="25F9C662" w14:textId="77777777" w:rsidR="008A7B40" w:rsidRPr="00C55ADB" w:rsidRDefault="008A7B40" w:rsidP="008A7B40">
            <w:pPr>
              <w:numPr>
                <w:ilvl w:val="0"/>
                <w:numId w:val="8"/>
              </w:numPr>
              <w:suppressAutoHyphens w:val="0"/>
              <w:spacing w:before="120" w:after="120"/>
              <w:rPr>
                <w:rFonts w:ascii="Arial" w:hAnsi="Arial" w:cs="Arial"/>
                <w:bCs/>
                <w:sz w:val="22"/>
                <w:szCs w:val="22"/>
              </w:rPr>
            </w:pPr>
            <w:r w:rsidRPr="00C55ADB">
              <w:rPr>
                <w:rFonts w:ascii="Arial" w:hAnsi="Arial" w:cs="Arial"/>
                <w:bCs/>
                <w:sz w:val="22"/>
                <w:szCs w:val="22"/>
              </w:rPr>
              <w:t>Māori LFPR by age: 25 to 44 years 78.8%, 45 years+ 60.7%.</w:t>
            </w:r>
          </w:p>
          <w:p w14:paraId="7A3C526C" w14:textId="77777777" w:rsidR="008A7B40" w:rsidRPr="00C55ADB" w:rsidRDefault="008A7B40">
            <w:pPr>
              <w:suppressAutoHyphens w:val="0"/>
              <w:spacing w:before="120" w:after="120"/>
              <w:rPr>
                <w:rFonts w:ascii="Arial" w:hAnsi="Arial" w:cs="Arial"/>
                <w:b/>
                <w:bCs/>
                <w:sz w:val="22"/>
                <w:szCs w:val="22"/>
              </w:rPr>
            </w:pPr>
            <w:r w:rsidRPr="00C55ADB">
              <w:rPr>
                <w:rFonts w:ascii="Arial" w:hAnsi="Arial" w:cs="Arial"/>
                <w:b/>
                <w:bCs/>
                <w:sz w:val="22"/>
                <w:szCs w:val="22"/>
              </w:rPr>
              <w:t>Underutilisation</w:t>
            </w:r>
          </w:p>
          <w:p w14:paraId="7732FB9B" w14:textId="77777777" w:rsidR="008A7B40" w:rsidRPr="00C55ADB" w:rsidRDefault="008A7B40" w:rsidP="008A7B40">
            <w:pPr>
              <w:numPr>
                <w:ilvl w:val="0"/>
                <w:numId w:val="8"/>
              </w:numPr>
              <w:suppressAutoHyphens w:val="0"/>
              <w:spacing w:before="120" w:after="120"/>
              <w:rPr>
                <w:rFonts w:ascii="Arial" w:hAnsi="Arial" w:cs="Arial"/>
                <w:bCs/>
                <w:sz w:val="22"/>
                <w:szCs w:val="22"/>
              </w:rPr>
            </w:pPr>
            <w:r w:rsidRPr="00C55ADB">
              <w:rPr>
                <w:rFonts w:ascii="Arial" w:hAnsi="Arial" w:cs="Arial"/>
                <w:bCs/>
                <w:sz w:val="22"/>
                <w:szCs w:val="22"/>
              </w:rPr>
              <w:t>Māori underutilised</w:t>
            </w:r>
            <w:r w:rsidRPr="00C55ADB">
              <w:rPr>
                <w:rFonts w:ascii="Arial" w:hAnsi="Arial" w:cs="Arial"/>
                <w:bCs/>
                <w:sz w:val="22"/>
                <w:szCs w:val="22"/>
                <w:vertAlign w:val="superscript"/>
              </w:rPr>
              <w:footnoteReference w:id="5"/>
            </w:r>
            <w:r w:rsidRPr="00C55ADB">
              <w:rPr>
                <w:rFonts w:ascii="Arial" w:hAnsi="Arial" w:cs="Arial"/>
                <w:bCs/>
                <w:sz w:val="22"/>
                <w:szCs w:val="22"/>
              </w:rPr>
              <w:t xml:space="preserve"> rate is 20.6% in the workforce (97,300 tangata).</w:t>
            </w:r>
          </w:p>
          <w:p w14:paraId="79EB6B9B" w14:textId="77777777" w:rsidR="008A7B40" w:rsidRPr="00C55ADB" w:rsidRDefault="008A7B40" w:rsidP="008A7B40">
            <w:pPr>
              <w:numPr>
                <w:ilvl w:val="0"/>
                <w:numId w:val="8"/>
              </w:numPr>
              <w:suppressAutoHyphens w:val="0"/>
              <w:spacing w:before="120" w:after="120"/>
              <w:rPr>
                <w:rFonts w:ascii="Arial" w:hAnsi="Arial" w:cs="Arial"/>
                <w:bCs/>
                <w:sz w:val="22"/>
                <w:szCs w:val="22"/>
              </w:rPr>
            </w:pPr>
            <w:r w:rsidRPr="00C55ADB">
              <w:rPr>
                <w:rFonts w:ascii="Arial" w:hAnsi="Arial" w:cs="Arial"/>
                <w:bCs/>
                <w:sz w:val="22"/>
                <w:szCs w:val="22"/>
              </w:rPr>
              <w:t xml:space="preserve">The tāne Māori underutilised rate is 18.5% (44,500 tāne). </w:t>
            </w:r>
          </w:p>
          <w:p w14:paraId="578C14B7" w14:textId="77777777" w:rsidR="008A7B40" w:rsidRPr="00C55ADB" w:rsidRDefault="008A7B40" w:rsidP="008A7B40">
            <w:pPr>
              <w:numPr>
                <w:ilvl w:val="0"/>
                <w:numId w:val="8"/>
              </w:numPr>
              <w:suppressAutoHyphens w:val="0"/>
              <w:spacing w:before="120" w:after="120"/>
              <w:rPr>
                <w:rFonts w:ascii="Arial" w:hAnsi="Arial" w:cs="Arial"/>
                <w:bCs/>
                <w:sz w:val="22"/>
                <w:szCs w:val="22"/>
              </w:rPr>
            </w:pPr>
            <w:r w:rsidRPr="00C55ADB">
              <w:rPr>
                <w:rFonts w:ascii="Arial" w:hAnsi="Arial" w:cs="Arial"/>
                <w:bCs/>
                <w:sz w:val="22"/>
                <w:szCs w:val="22"/>
              </w:rPr>
              <w:t>The wāhine Māori underutilised rate is 22.7% (52,800 wāhine).</w:t>
            </w:r>
          </w:p>
          <w:p w14:paraId="3403909D" w14:textId="77777777" w:rsidR="008A7B40" w:rsidRPr="00C55ADB" w:rsidRDefault="008A7B40">
            <w:pPr>
              <w:suppressAutoHyphens w:val="0"/>
              <w:spacing w:before="120" w:after="120"/>
              <w:rPr>
                <w:rFonts w:ascii="Arial" w:hAnsi="Arial" w:cs="Arial"/>
                <w:b/>
                <w:bCs/>
                <w:sz w:val="22"/>
                <w:szCs w:val="22"/>
              </w:rPr>
            </w:pPr>
            <w:r w:rsidRPr="00C55ADB">
              <w:rPr>
                <w:rFonts w:ascii="Arial" w:hAnsi="Arial" w:cs="Arial"/>
                <w:b/>
                <w:bCs/>
                <w:sz w:val="22"/>
                <w:szCs w:val="22"/>
              </w:rPr>
              <w:t xml:space="preserve">Unemployment </w:t>
            </w:r>
          </w:p>
          <w:p w14:paraId="07CFB29A" w14:textId="77777777" w:rsidR="008A7B40" w:rsidRPr="00C55ADB" w:rsidRDefault="008A7B40" w:rsidP="008A7B40">
            <w:pPr>
              <w:numPr>
                <w:ilvl w:val="0"/>
                <w:numId w:val="8"/>
              </w:numPr>
              <w:suppressAutoHyphens w:val="0"/>
              <w:spacing w:before="120" w:after="120"/>
              <w:rPr>
                <w:rFonts w:ascii="Arial" w:hAnsi="Arial" w:cs="Arial"/>
                <w:bCs/>
                <w:sz w:val="22"/>
                <w:szCs w:val="22"/>
              </w:rPr>
            </w:pPr>
            <w:r w:rsidRPr="00C55ADB">
              <w:rPr>
                <w:rFonts w:ascii="Arial" w:hAnsi="Arial" w:cs="Arial"/>
                <w:bCs/>
                <w:sz w:val="22"/>
                <w:szCs w:val="22"/>
              </w:rPr>
              <w:t xml:space="preserve">Māori unemployment rate is 10.6% with 47,000 unemployed. </w:t>
            </w:r>
          </w:p>
          <w:p w14:paraId="46037013" w14:textId="77777777" w:rsidR="008A7B40" w:rsidRPr="00C55ADB" w:rsidRDefault="008A7B40" w:rsidP="008A7B40">
            <w:pPr>
              <w:numPr>
                <w:ilvl w:val="0"/>
                <w:numId w:val="8"/>
              </w:numPr>
              <w:suppressAutoHyphens w:val="0"/>
              <w:spacing w:before="120" w:after="120"/>
              <w:rPr>
                <w:rFonts w:ascii="Arial" w:hAnsi="Arial" w:cs="Arial"/>
                <w:bCs/>
                <w:sz w:val="22"/>
                <w:szCs w:val="22"/>
              </w:rPr>
            </w:pPr>
            <w:r w:rsidRPr="00C55ADB">
              <w:rPr>
                <w:rFonts w:ascii="Arial" w:hAnsi="Arial" w:cs="Arial"/>
                <w:bCs/>
                <w:sz w:val="22"/>
                <w:szCs w:val="22"/>
              </w:rPr>
              <w:t>Tāne Māori unemployment rate is 10.6% (24,200 tāne).</w:t>
            </w:r>
          </w:p>
          <w:p w14:paraId="0CEF503D" w14:textId="77777777" w:rsidR="008A7B40" w:rsidRPr="00C55ADB" w:rsidRDefault="008A7B40" w:rsidP="008A7B40">
            <w:pPr>
              <w:numPr>
                <w:ilvl w:val="0"/>
                <w:numId w:val="8"/>
              </w:numPr>
              <w:suppressAutoHyphens w:val="0"/>
              <w:spacing w:before="120" w:after="120"/>
              <w:rPr>
                <w:rFonts w:ascii="Arial" w:hAnsi="Arial" w:cs="Arial"/>
                <w:bCs/>
                <w:sz w:val="22"/>
                <w:szCs w:val="22"/>
              </w:rPr>
            </w:pPr>
            <w:r w:rsidRPr="00C55ADB">
              <w:rPr>
                <w:rFonts w:ascii="Arial" w:hAnsi="Arial" w:cs="Arial"/>
                <w:bCs/>
                <w:sz w:val="22"/>
                <w:szCs w:val="22"/>
              </w:rPr>
              <w:t>Wāhine Māori unemployment rate is 10.5% (22,900 wāhine).</w:t>
            </w:r>
          </w:p>
          <w:p w14:paraId="53E5E4A3" w14:textId="77777777" w:rsidR="008A7B40" w:rsidRPr="00C55ADB" w:rsidRDefault="008A7B40" w:rsidP="008A7B40">
            <w:pPr>
              <w:numPr>
                <w:ilvl w:val="0"/>
                <w:numId w:val="8"/>
              </w:numPr>
              <w:suppressAutoHyphens w:val="0"/>
              <w:spacing w:before="120" w:after="120"/>
              <w:rPr>
                <w:rFonts w:ascii="Arial" w:hAnsi="Arial" w:cs="Arial"/>
                <w:bCs/>
                <w:sz w:val="22"/>
                <w:szCs w:val="22"/>
              </w:rPr>
            </w:pPr>
            <w:r w:rsidRPr="00C55ADB">
              <w:rPr>
                <w:rFonts w:ascii="Arial" w:hAnsi="Arial" w:cs="Arial"/>
                <w:bCs/>
                <w:sz w:val="22"/>
                <w:szCs w:val="22"/>
              </w:rPr>
              <w:t>Māori unemployment rate by age: Māori 25 to 44 years is 7.9% (14,400), Māori 45 years+ is 5.8% (9,200).</w:t>
            </w:r>
          </w:p>
          <w:p w14:paraId="35812F10" w14:textId="77777777" w:rsidR="008A7B40" w:rsidRPr="00C55ADB" w:rsidRDefault="008A7B40" w:rsidP="008A7B40">
            <w:pPr>
              <w:numPr>
                <w:ilvl w:val="0"/>
                <w:numId w:val="8"/>
              </w:numPr>
              <w:suppressAutoHyphens w:val="0"/>
              <w:spacing w:before="120" w:after="120"/>
              <w:rPr>
                <w:rFonts w:ascii="Arial" w:hAnsi="Arial" w:cs="Arial"/>
                <w:bCs/>
                <w:sz w:val="22"/>
                <w:szCs w:val="22"/>
              </w:rPr>
            </w:pPr>
            <w:r w:rsidRPr="00C55ADB">
              <w:rPr>
                <w:rFonts w:ascii="Arial" w:hAnsi="Arial" w:cs="Arial"/>
                <w:bCs/>
                <w:sz w:val="22"/>
                <w:szCs w:val="22"/>
              </w:rPr>
              <w:t>Across the regions, Māori unemployment rates are highest in South Auckland (20.6%), West Auckland (17.3%), Auckland (14.1%), and Waikato (11.9%).</w:t>
            </w:r>
          </w:p>
          <w:p w14:paraId="37F7373B" w14:textId="77777777" w:rsidR="008A7B40" w:rsidRPr="00C55ADB" w:rsidRDefault="008A7B40">
            <w:pPr>
              <w:suppressAutoHyphens w:val="0"/>
              <w:spacing w:before="120" w:after="120"/>
              <w:rPr>
                <w:rFonts w:ascii="Arial" w:hAnsi="Arial" w:cs="Arial"/>
                <w:b/>
                <w:bCs/>
                <w:sz w:val="22"/>
                <w:szCs w:val="22"/>
              </w:rPr>
            </w:pPr>
            <w:r w:rsidRPr="00C55ADB">
              <w:rPr>
                <w:rFonts w:ascii="Arial" w:hAnsi="Arial" w:cs="Arial"/>
                <w:b/>
                <w:bCs/>
                <w:sz w:val="22"/>
                <w:szCs w:val="22"/>
              </w:rPr>
              <w:t>NEET (aged 15-24 years)</w:t>
            </w:r>
          </w:p>
          <w:p w14:paraId="220E91AD" w14:textId="77777777" w:rsidR="008A7B40" w:rsidRPr="00C55ADB" w:rsidRDefault="008A7B40" w:rsidP="008A7B40">
            <w:pPr>
              <w:numPr>
                <w:ilvl w:val="0"/>
                <w:numId w:val="8"/>
              </w:numPr>
              <w:suppressAutoHyphens w:val="0"/>
              <w:spacing w:before="120" w:after="120"/>
              <w:rPr>
                <w:rFonts w:ascii="Arial" w:hAnsi="Arial" w:cs="Arial"/>
                <w:b/>
                <w:bCs/>
                <w:sz w:val="22"/>
                <w:szCs w:val="22"/>
              </w:rPr>
            </w:pPr>
            <w:r w:rsidRPr="00C55ADB">
              <w:rPr>
                <w:rFonts w:ascii="Arial" w:hAnsi="Arial" w:cs="Arial"/>
                <w:bCs/>
                <w:sz w:val="22"/>
                <w:szCs w:val="22"/>
              </w:rPr>
              <w:t xml:space="preserve">Māori NEET aged 15 to 24 years 20.4% (33,800 tangata). </w:t>
            </w:r>
          </w:p>
          <w:p w14:paraId="23F75904" w14:textId="77777777" w:rsidR="008A7B40" w:rsidRPr="00C55ADB" w:rsidRDefault="008A7B40" w:rsidP="008A7B40">
            <w:pPr>
              <w:numPr>
                <w:ilvl w:val="0"/>
                <w:numId w:val="8"/>
              </w:numPr>
              <w:suppressAutoHyphens w:val="0"/>
              <w:spacing w:before="120" w:after="120"/>
              <w:rPr>
                <w:rFonts w:ascii="Arial" w:hAnsi="Arial" w:cs="Arial"/>
                <w:bCs/>
                <w:sz w:val="22"/>
                <w:szCs w:val="22"/>
              </w:rPr>
            </w:pPr>
            <w:r w:rsidRPr="00C55ADB">
              <w:rPr>
                <w:rFonts w:ascii="Arial" w:hAnsi="Arial" w:cs="Arial"/>
                <w:bCs/>
                <w:sz w:val="22"/>
                <w:szCs w:val="22"/>
              </w:rPr>
              <w:t xml:space="preserve">Tāne Māori NEET rate is 19.1% (15,700). </w:t>
            </w:r>
          </w:p>
          <w:p w14:paraId="631EA6A6" w14:textId="77777777" w:rsidR="008A7B40" w:rsidRPr="00C55ADB" w:rsidRDefault="008A7B40" w:rsidP="008A7B40">
            <w:pPr>
              <w:numPr>
                <w:ilvl w:val="0"/>
                <w:numId w:val="8"/>
              </w:numPr>
              <w:suppressAutoHyphens w:val="0"/>
              <w:spacing w:before="120" w:after="120"/>
              <w:rPr>
                <w:rFonts w:ascii="Arial" w:hAnsi="Arial" w:cs="Arial"/>
                <w:bCs/>
                <w:sz w:val="22"/>
                <w:szCs w:val="22"/>
              </w:rPr>
            </w:pPr>
            <w:r w:rsidRPr="00C55ADB">
              <w:rPr>
                <w:rFonts w:ascii="Arial" w:hAnsi="Arial" w:cs="Arial"/>
                <w:bCs/>
                <w:sz w:val="22"/>
                <w:szCs w:val="22"/>
              </w:rPr>
              <w:t>Wāhine Māori NEET rate is 21.8% (18,100).</w:t>
            </w:r>
          </w:p>
          <w:p w14:paraId="29EC10FD" w14:textId="77777777" w:rsidR="008A7B40" w:rsidRPr="00C55ADB" w:rsidRDefault="008A7B40" w:rsidP="008A7B40">
            <w:pPr>
              <w:numPr>
                <w:ilvl w:val="0"/>
                <w:numId w:val="8"/>
              </w:numPr>
              <w:suppressAutoHyphens w:val="0"/>
              <w:spacing w:before="120" w:after="120"/>
              <w:rPr>
                <w:rFonts w:ascii="Arial" w:hAnsi="Arial" w:cs="Arial"/>
                <w:bCs/>
                <w:sz w:val="22"/>
                <w:szCs w:val="22"/>
              </w:rPr>
            </w:pPr>
            <w:r w:rsidRPr="00C55ADB">
              <w:rPr>
                <w:rFonts w:ascii="Arial" w:hAnsi="Arial" w:cs="Arial"/>
                <w:bCs/>
                <w:sz w:val="22"/>
                <w:szCs w:val="22"/>
              </w:rPr>
              <w:t>Māori NEET rate by age: Māori 15-19 years is 16.0% (14,800), Māori 20 - 24 years is 25.9% (19,000).</w:t>
            </w:r>
          </w:p>
          <w:p w14:paraId="605475DA" w14:textId="77777777" w:rsidR="008A7B40" w:rsidRPr="00C55ADB" w:rsidRDefault="008A7B40" w:rsidP="008A7B40">
            <w:pPr>
              <w:numPr>
                <w:ilvl w:val="0"/>
                <w:numId w:val="8"/>
              </w:numPr>
              <w:suppressAutoHyphens w:val="0"/>
              <w:spacing w:before="120" w:after="120"/>
              <w:rPr>
                <w:rFonts w:ascii="Arial" w:hAnsi="Arial" w:cs="Arial"/>
                <w:bCs/>
                <w:sz w:val="22"/>
                <w:szCs w:val="22"/>
              </w:rPr>
            </w:pPr>
            <w:r w:rsidRPr="00C55ADB">
              <w:rPr>
                <w:rFonts w:ascii="Arial" w:hAnsi="Arial" w:cs="Arial"/>
                <w:bCs/>
                <w:sz w:val="22"/>
                <w:szCs w:val="22"/>
              </w:rPr>
              <w:t>NEET consists of:</w:t>
            </w:r>
          </w:p>
          <w:p w14:paraId="233A1206" w14:textId="77777777" w:rsidR="008A7B40" w:rsidRPr="00C55ADB" w:rsidRDefault="008A7B40" w:rsidP="008A7B40">
            <w:pPr>
              <w:numPr>
                <w:ilvl w:val="1"/>
                <w:numId w:val="8"/>
              </w:numPr>
              <w:suppressAutoHyphens w:val="0"/>
              <w:spacing w:before="120" w:after="120"/>
              <w:rPr>
                <w:rFonts w:ascii="Arial" w:hAnsi="Arial" w:cs="Arial"/>
                <w:bCs/>
                <w:sz w:val="22"/>
                <w:szCs w:val="22"/>
              </w:rPr>
            </w:pPr>
            <w:r w:rsidRPr="00C55ADB">
              <w:rPr>
                <w:rFonts w:ascii="Arial" w:hAnsi="Arial" w:cs="Arial"/>
                <w:bCs/>
                <w:sz w:val="22"/>
                <w:szCs w:val="22"/>
              </w:rPr>
              <w:t>14,300 Māori aged 15 – 24 years unemployed and not in education.</w:t>
            </w:r>
          </w:p>
          <w:p w14:paraId="05D24441" w14:textId="77777777" w:rsidR="008A7B40" w:rsidRPr="00C55ADB" w:rsidRDefault="008A7B40" w:rsidP="008A7B40">
            <w:pPr>
              <w:numPr>
                <w:ilvl w:val="1"/>
                <w:numId w:val="8"/>
              </w:numPr>
              <w:suppressAutoHyphens w:val="0"/>
              <w:spacing w:before="120" w:after="120"/>
              <w:rPr>
                <w:rFonts w:ascii="Arial" w:hAnsi="Arial" w:cs="Arial"/>
                <w:bCs/>
                <w:sz w:val="22"/>
                <w:szCs w:val="22"/>
              </w:rPr>
            </w:pPr>
            <w:r w:rsidRPr="00C55ADB">
              <w:rPr>
                <w:rFonts w:ascii="Arial" w:hAnsi="Arial" w:cs="Arial"/>
                <w:bCs/>
                <w:sz w:val="22"/>
                <w:szCs w:val="22"/>
              </w:rPr>
              <w:t xml:space="preserve">12,800 Māori aged 15 – 24 years not in the labour force, not in education and not caregiving; and </w:t>
            </w:r>
          </w:p>
          <w:p w14:paraId="6E911D72" w14:textId="77777777" w:rsidR="008A7B40" w:rsidRPr="00C55ADB" w:rsidRDefault="008A7B40">
            <w:pPr>
              <w:suppressAutoHyphens w:val="0"/>
              <w:spacing w:before="120" w:after="120"/>
              <w:rPr>
                <w:rFonts w:ascii="Arial" w:hAnsi="Arial" w:cs="Arial"/>
                <w:bCs/>
                <w:sz w:val="22"/>
                <w:szCs w:val="22"/>
              </w:rPr>
            </w:pPr>
            <w:r w:rsidRPr="00C55ADB">
              <w:rPr>
                <w:rFonts w:ascii="Arial" w:hAnsi="Arial" w:cs="Arial"/>
                <w:bCs/>
                <w:sz w:val="22"/>
                <w:szCs w:val="22"/>
              </w:rPr>
              <w:t>6,700 not in the labour force, not in education and caregiving.</w:t>
            </w:r>
          </w:p>
        </w:tc>
      </w:tr>
      <w:tr w:rsidR="008A7B40" w:rsidRPr="0065283F" w14:paraId="04E14696" w14:textId="77777777">
        <w:trPr>
          <w:trHeight w:val="454"/>
        </w:trPr>
        <w:tc>
          <w:tcPr>
            <w:tcW w:w="1819" w:type="dxa"/>
            <w:vMerge/>
          </w:tcPr>
          <w:p w14:paraId="7D477615" w14:textId="77777777" w:rsidR="008A7B40" w:rsidRPr="00C55ADB" w:rsidRDefault="008A7B40">
            <w:pPr>
              <w:suppressAutoHyphens w:val="0"/>
              <w:rPr>
                <w:rFonts w:ascii="Arial" w:hAnsi="Arial" w:cs="Arial"/>
                <w:b/>
                <w:sz w:val="22"/>
                <w:szCs w:val="22"/>
              </w:rPr>
            </w:pPr>
          </w:p>
        </w:tc>
        <w:tc>
          <w:tcPr>
            <w:tcW w:w="1525" w:type="dxa"/>
          </w:tcPr>
          <w:p w14:paraId="3989F85E" w14:textId="77777777" w:rsidR="008A7B40" w:rsidRPr="00C55ADB" w:rsidRDefault="008A7B40">
            <w:pPr>
              <w:suppressAutoHyphens w:val="0"/>
              <w:spacing w:before="120" w:after="120"/>
              <w:rPr>
                <w:rFonts w:ascii="Arial" w:hAnsi="Arial" w:cs="Arial"/>
                <w:sz w:val="22"/>
                <w:szCs w:val="22"/>
              </w:rPr>
            </w:pPr>
            <w:r w:rsidRPr="00C55ADB">
              <w:rPr>
                <w:rFonts w:ascii="Arial" w:hAnsi="Arial" w:cs="Arial"/>
                <w:sz w:val="22"/>
                <w:szCs w:val="22"/>
              </w:rPr>
              <w:t>Quality rating:</w:t>
            </w:r>
          </w:p>
        </w:tc>
        <w:tc>
          <w:tcPr>
            <w:tcW w:w="6337" w:type="dxa"/>
          </w:tcPr>
          <w:p w14:paraId="7D0A07FC" w14:textId="77777777" w:rsidR="008A7B40" w:rsidRPr="00C55ADB" w:rsidRDefault="008A7B40">
            <w:pPr>
              <w:suppressAutoHyphens w:val="0"/>
              <w:spacing w:before="120" w:after="120"/>
              <w:rPr>
                <w:rFonts w:ascii="Arial" w:hAnsi="Arial" w:cs="Arial"/>
                <w:bCs/>
                <w:sz w:val="22"/>
                <w:szCs w:val="22"/>
              </w:rPr>
            </w:pPr>
            <w:r w:rsidRPr="00C55ADB">
              <w:rPr>
                <w:rFonts w:ascii="Arial" w:hAnsi="Arial" w:cs="Arial"/>
                <w:bCs/>
                <w:sz w:val="22"/>
                <w:szCs w:val="22"/>
              </w:rPr>
              <w:t>Good</w:t>
            </w:r>
          </w:p>
        </w:tc>
      </w:tr>
      <w:tr w:rsidR="008A7B40" w:rsidRPr="0065283F" w14:paraId="2F11C6A2" w14:textId="77777777">
        <w:trPr>
          <w:trHeight w:val="454"/>
        </w:trPr>
        <w:tc>
          <w:tcPr>
            <w:tcW w:w="1819" w:type="dxa"/>
            <w:vMerge/>
          </w:tcPr>
          <w:p w14:paraId="515D9BAB" w14:textId="77777777" w:rsidR="008A7B40" w:rsidRPr="00C55ADB" w:rsidRDefault="008A7B40">
            <w:pPr>
              <w:suppressAutoHyphens w:val="0"/>
              <w:rPr>
                <w:rFonts w:ascii="Arial" w:hAnsi="Arial" w:cs="Arial"/>
                <w:b/>
                <w:sz w:val="22"/>
                <w:szCs w:val="22"/>
              </w:rPr>
            </w:pPr>
          </w:p>
        </w:tc>
        <w:tc>
          <w:tcPr>
            <w:tcW w:w="1525" w:type="dxa"/>
          </w:tcPr>
          <w:p w14:paraId="0F29CB49" w14:textId="77777777" w:rsidR="008A7B40" w:rsidRPr="00C55ADB" w:rsidRDefault="008A7B40">
            <w:pPr>
              <w:suppressAutoHyphens w:val="0"/>
              <w:spacing w:before="120" w:after="120"/>
              <w:rPr>
                <w:rFonts w:ascii="Arial" w:hAnsi="Arial" w:cs="Arial"/>
                <w:sz w:val="22"/>
                <w:szCs w:val="22"/>
              </w:rPr>
            </w:pPr>
            <w:r w:rsidRPr="00C55ADB">
              <w:rPr>
                <w:rFonts w:ascii="Arial" w:hAnsi="Arial" w:cs="Arial"/>
                <w:sz w:val="22"/>
                <w:szCs w:val="22"/>
              </w:rPr>
              <w:t>Assessment rationale summary:</w:t>
            </w:r>
          </w:p>
        </w:tc>
        <w:tc>
          <w:tcPr>
            <w:tcW w:w="6337" w:type="dxa"/>
          </w:tcPr>
          <w:p w14:paraId="51687307" w14:textId="77777777" w:rsidR="008A7B40" w:rsidRPr="00C55ADB" w:rsidRDefault="008A7B40">
            <w:pPr>
              <w:suppressAutoHyphens w:val="0"/>
              <w:spacing w:before="120" w:after="120"/>
              <w:rPr>
                <w:rFonts w:ascii="Arial" w:hAnsi="Arial" w:cs="Arial"/>
                <w:bCs/>
                <w:sz w:val="22"/>
                <w:szCs w:val="22"/>
              </w:rPr>
            </w:pPr>
            <w:r w:rsidRPr="00C55ADB">
              <w:rPr>
                <w:rFonts w:ascii="Arial" w:hAnsi="Arial" w:cs="Arial"/>
                <w:bCs/>
                <w:sz w:val="22"/>
                <w:szCs w:val="22"/>
              </w:rPr>
              <w:t>We rated this publication as good as the data provided shows a complete picture of Māori employment and unemployment patterns compared to past publications from this series.</w:t>
            </w:r>
          </w:p>
        </w:tc>
      </w:tr>
    </w:tbl>
    <w:p w14:paraId="69C89C83" w14:textId="77777777" w:rsidR="00512709" w:rsidRDefault="00512709" w:rsidP="00512709">
      <w:pPr>
        <w:pStyle w:val="BodyText"/>
        <w:suppressAutoHyphens w:val="0"/>
        <w:rPr>
          <w:rFonts w:cs="Arial"/>
          <w:b/>
          <w:szCs w:val="24"/>
        </w:rPr>
      </w:pPr>
    </w:p>
    <w:tbl>
      <w:tblPr>
        <w:tblStyle w:val="TableGrid"/>
        <w:tblW w:w="9640" w:type="dxa"/>
        <w:tblInd w:w="-856" w:type="dxa"/>
        <w:tblLook w:val="04A0" w:firstRow="1" w:lastRow="0" w:firstColumn="1" w:lastColumn="0" w:noHBand="0" w:noVBand="1"/>
      </w:tblPr>
      <w:tblGrid>
        <w:gridCol w:w="1819"/>
        <w:gridCol w:w="1525"/>
        <w:gridCol w:w="6296"/>
      </w:tblGrid>
      <w:tr w:rsidR="00BB6A18" w:rsidRPr="00C55ADB" w14:paraId="67C23837" w14:textId="77777777">
        <w:trPr>
          <w:trHeight w:val="454"/>
        </w:trPr>
        <w:tc>
          <w:tcPr>
            <w:tcW w:w="1819" w:type="dxa"/>
            <w:vMerge w:val="restart"/>
          </w:tcPr>
          <w:p w14:paraId="692D178E" w14:textId="0B9BE6CD" w:rsidR="00BB6A18" w:rsidRPr="00C55ADB" w:rsidRDefault="00BB6A18">
            <w:pPr>
              <w:suppressAutoHyphens w:val="0"/>
              <w:spacing w:before="120"/>
              <w:rPr>
                <w:rFonts w:ascii="Arial" w:hAnsi="Arial" w:cs="Arial"/>
                <w:b/>
                <w:sz w:val="22"/>
                <w:szCs w:val="22"/>
              </w:rPr>
            </w:pPr>
            <w:r w:rsidRPr="00C55ADB">
              <w:rPr>
                <w:rFonts w:ascii="Arial" w:hAnsi="Arial" w:cs="Arial"/>
                <w:b/>
                <w:sz w:val="22"/>
                <w:szCs w:val="22"/>
              </w:rPr>
              <w:t>Social We</w:t>
            </w:r>
            <w:r w:rsidR="00BD7B1D" w:rsidRPr="00C55ADB">
              <w:rPr>
                <w:rFonts w:ascii="Arial" w:hAnsi="Arial" w:cs="Arial"/>
                <w:b/>
                <w:sz w:val="22"/>
                <w:szCs w:val="22"/>
              </w:rPr>
              <w:t>llbeing</w:t>
            </w:r>
          </w:p>
          <w:p w14:paraId="01ED9408" w14:textId="77777777" w:rsidR="00BB6A18" w:rsidRPr="00C55ADB" w:rsidRDefault="00BB6A18">
            <w:pPr>
              <w:suppressAutoHyphens w:val="0"/>
              <w:rPr>
                <w:rFonts w:ascii="Arial" w:hAnsi="Arial" w:cs="Arial"/>
                <w:b/>
                <w:sz w:val="22"/>
                <w:szCs w:val="22"/>
              </w:rPr>
            </w:pPr>
          </w:p>
          <w:p w14:paraId="1254AA89" w14:textId="77777777" w:rsidR="00BB6A18" w:rsidRPr="00C55ADB" w:rsidRDefault="00BB6A18">
            <w:pPr>
              <w:rPr>
                <w:rFonts w:ascii="Arial" w:hAnsi="Arial" w:cs="Arial"/>
                <w:b/>
                <w:sz w:val="22"/>
                <w:szCs w:val="22"/>
              </w:rPr>
            </w:pPr>
            <w:r w:rsidRPr="00C55ADB">
              <w:rPr>
                <w:rFonts w:ascii="Arial" w:hAnsi="Arial" w:cs="Arial"/>
                <w:b/>
                <w:sz w:val="22"/>
                <w:szCs w:val="22"/>
              </w:rPr>
              <w:t>Pānui 06/2026</w:t>
            </w:r>
          </w:p>
        </w:tc>
        <w:tc>
          <w:tcPr>
            <w:tcW w:w="1525" w:type="dxa"/>
          </w:tcPr>
          <w:p w14:paraId="551F0304" w14:textId="77777777" w:rsidR="00BB6A18" w:rsidRPr="00C55ADB" w:rsidRDefault="00BB6A18">
            <w:pPr>
              <w:suppressAutoHyphens w:val="0"/>
              <w:spacing w:before="120" w:after="120"/>
              <w:rPr>
                <w:rFonts w:ascii="Arial" w:hAnsi="Arial" w:cs="Arial"/>
                <w:i/>
                <w:sz w:val="22"/>
                <w:szCs w:val="22"/>
              </w:rPr>
            </w:pPr>
            <w:r w:rsidRPr="00C55ADB">
              <w:rPr>
                <w:rFonts w:ascii="Arial" w:hAnsi="Arial" w:cs="Arial"/>
                <w:b/>
                <w:sz w:val="22"/>
                <w:szCs w:val="22"/>
              </w:rPr>
              <w:t>Item:</w:t>
            </w:r>
          </w:p>
        </w:tc>
        <w:tc>
          <w:tcPr>
            <w:tcW w:w="6296" w:type="dxa"/>
          </w:tcPr>
          <w:p w14:paraId="21C3989B" w14:textId="77777777" w:rsidR="00BB6A18" w:rsidRPr="003274C9" w:rsidRDefault="00BB6A18">
            <w:pPr>
              <w:pStyle w:val="BodyText"/>
              <w:spacing w:before="120"/>
              <w:rPr>
                <w:rFonts w:cs="Arial"/>
                <w:sz w:val="22"/>
                <w:szCs w:val="18"/>
              </w:rPr>
            </w:pPr>
            <w:r w:rsidRPr="003274C9">
              <w:rPr>
                <w:rFonts w:cs="Arial"/>
                <w:b/>
                <w:sz w:val="22"/>
                <w:szCs w:val="18"/>
              </w:rPr>
              <w:t>Child poverty statistics: Year ended June 2025</w:t>
            </w:r>
          </w:p>
        </w:tc>
      </w:tr>
      <w:tr w:rsidR="00BB6A18" w:rsidRPr="00C55ADB" w14:paraId="4737FB91" w14:textId="77777777">
        <w:trPr>
          <w:trHeight w:val="454"/>
        </w:trPr>
        <w:tc>
          <w:tcPr>
            <w:tcW w:w="1819" w:type="dxa"/>
            <w:vMerge/>
          </w:tcPr>
          <w:p w14:paraId="20F381E1" w14:textId="77777777" w:rsidR="00BB6A18" w:rsidRPr="00C55ADB" w:rsidRDefault="00BB6A18">
            <w:pPr>
              <w:rPr>
                <w:rFonts w:ascii="Arial" w:hAnsi="Arial" w:cs="Arial"/>
                <w:b/>
                <w:sz w:val="22"/>
                <w:szCs w:val="22"/>
              </w:rPr>
            </w:pPr>
          </w:p>
        </w:tc>
        <w:tc>
          <w:tcPr>
            <w:tcW w:w="1525" w:type="dxa"/>
          </w:tcPr>
          <w:p w14:paraId="38CA5DCB" w14:textId="77777777" w:rsidR="00BB6A18" w:rsidRPr="00C55ADB" w:rsidRDefault="00BB6A18">
            <w:pPr>
              <w:suppressAutoHyphens w:val="0"/>
              <w:spacing w:before="120" w:after="120"/>
              <w:rPr>
                <w:rFonts w:ascii="Arial" w:hAnsi="Arial" w:cs="Arial"/>
                <w:i/>
                <w:sz w:val="22"/>
                <w:szCs w:val="22"/>
              </w:rPr>
            </w:pPr>
            <w:r w:rsidRPr="00C55ADB">
              <w:rPr>
                <w:rFonts w:ascii="Arial" w:hAnsi="Arial" w:cs="Arial"/>
                <w:sz w:val="22"/>
                <w:szCs w:val="22"/>
              </w:rPr>
              <w:t>Publisher:</w:t>
            </w:r>
          </w:p>
        </w:tc>
        <w:tc>
          <w:tcPr>
            <w:tcW w:w="6296" w:type="dxa"/>
          </w:tcPr>
          <w:p w14:paraId="467D1268" w14:textId="77777777" w:rsidR="00BB6A18" w:rsidRPr="00C55ADB" w:rsidRDefault="00BB6A18">
            <w:pPr>
              <w:pStyle w:val="BodyText"/>
              <w:spacing w:before="120"/>
              <w:rPr>
                <w:rFonts w:cs="Arial"/>
                <w:sz w:val="22"/>
                <w:szCs w:val="22"/>
              </w:rPr>
            </w:pPr>
            <w:r w:rsidRPr="00C55ADB">
              <w:rPr>
                <w:rFonts w:cs="Arial"/>
                <w:sz w:val="22"/>
                <w:szCs w:val="22"/>
              </w:rPr>
              <w:t>Statistics New Zealand (Stats NZ): February 2026</w:t>
            </w:r>
          </w:p>
        </w:tc>
      </w:tr>
      <w:tr w:rsidR="00BB6A18" w:rsidRPr="00C55ADB" w14:paraId="4AF39CD9" w14:textId="77777777">
        <w:trPr>
          <w:trHeight w:val="454"/>
        </w:trPr>
        <w:tc>
          <w:tcPr>
            <w:tcW w:w="1819" w:type="dxa"/>
            <w:vMerge/>
          </w:tcPr>
          <w:p w14:paraId="49BAD712" w14:textId="77777777" w:rsidR="00BB6A18" w:rsidRPr="00C55ADB" w:rsidRDefault="00BB6A18">
            <w:pPr>
              <w:suppressAutoHyphens w:val="0"/>
              <w:rPr>
                <w:rFonts w:ascii="Arial" w:hAnsi="Arial" w:cs="Arial"/>
                <w:b/>
                <w:sz w:val="22"/>
                <w:szCs w:val="22"/>
              </w:rPr>
            </w:pPr>
          </w:p>
        </w:tc>
        <w:tc>
          <w:tcPr>
            <w:tcW w:w="1525" w:type="dxa"/>
          </w:tcPr>
          <w:p w14:paraId="1FD9AEE0" w14:textId="77777777" w:rsidR="00BB6A18" w:rsidRPr="00C55ADB" w:rsidRDefault="00BB6A18">
            <w:pPr>
              <w:suppressAutoHyphens w:val="0"/>
              <w:spacing w:before="120" w:after="120"/>
              <w:rPr>
                <w:rFonts w:ascii="Arial" w:hAnsi="Arial" w:cs="Arial"/>
                <w:i/>
                <w:sz w:val="22"/>
                <w:szCs w:val="22"/>
              </w:rPr>
            </w:pPr>
            <w:r w:rsidRPr="00C55ADB">
              <w:rPr>
                <w:rFonts w:ascii="Arial" w:hAnsi="Arial" w:cs="Arial"/>
                <w:sz w:val="22"/>
                <w:szCs w:val="22"/>
              </w:rPr>
              <w:t>Content summary:</w:t>
            </w:r>
          </w:p>
        </w:tc>
        <w:tc>
          <w:tcPr>
            <w:tcW w:w="6296" w:type="dxa"/>
          </w:tcPr>
          <w:p w14:paraId="7D1678F9" w14:textId="77777777" w:rsidR="00BB6A18" w:rsidRPr="00C55ADB" w:rsidRDefault="00BB6A18">
            <w:pPr>
              <w:suppressAutoHyphens w:val="0"/>
              <w:spacing w:before="120" w:after="120"/>
              <w:rPr>
                <w:rFonts w:ascii="Arial" w:hAnsi="Arial" w:cs="Arial"/>
                <w:bCs/>
                <w:sz w:val="22"/>
                <w:szCs w:val="22"/>
              </w:rPr>
            </w:pPr>
            <w:r w:rsidRPr="00C55ADB">
              <w:rPr>
                <w:rFonts w:ascii="Arial" w:hAnsi="Arial" w:cs="Arial"/>
                <w:bCs/>
                <w:sz w:val="22"/>
                <w:szCs w:val="22"/>
              </w:rPr>
              <w:t>In accordance with the Child Poverty Reduction Act 2018, Stats NZ has now released its sixth set of child poverty data.  This is data that measures rates of child poverty against nine different metrics.</w:t>
            </w:r>
          </w:p>
          <w:p w14:paraId="622BF219" w14:textId="77777777" w:rsidR="00BB6A18" w:rsidRPr="00C55ADB" w:rsidRDefault="00BB6A18">
            <w:pPr>
              <w:suppressAutoHyphens w:val="0"/>
              <w:spacing w:before="120" w:after="120"/>
              <w:rPr>
                <w:rFonts w:ascii="Arial" w:hAnsi="Arial" w:cs="Arial"/>
                <w:bCs/>
                <w:sz w:val="22"/>
                <w:szCs w:val="22"/>
              </w:rPr>
            </w:pPr>
            <w:r w:rsidRPr="00C55ADB">
              <w:rPr>
                <w:rFonts w:ascii="Arial" w:hAnsi="Arial" w:cs="Arial"/>
                <w:bCs/>
                <w:sz w:val="22"/>
                <w:szCs w:val="22"/>
              </w:rPr>
              <w:t xml:space="preserve">Stats NZ is careful to remain politically impartial in discussing this data, and therefore its messaging is generally neutral, although some regression towards more children in poverty is noted from baseline data (2018), but no significant changes have occurred since last year (2024).  The differences for Māori from last year are not significant either.  </w:t>
            </w:r>
          </w:p>
        </w:tc>
      </w:tr>
      <w:tr w:rsidR="00BB6A18" w:rsidRPr="00C55ADB" w14:paraId="33B51AEA" w14:textId="77777777">
        <w:trPr>
          <w:trHeight w:val="454"/>
        </w:trPr>
        <w:tc>
          <w:tcPr>
            <w:tcW w:w="1819" w:type="dxa"/>
            <w:vMerge/>
          </w:tcPr>
          <w:p w14:paraId="7ED4FCA8" w14:textId="77777777" w:rsidR="00BB6A18" w:rsidRPr="00C55ADB" w:rsidRDefault="00BB6A18">
            <w:pPr>
              <w:suppressAutoHyphens w:val="0"/>
              <w:rPr>
                <w:rFonts w:ascii="Arial" w:hAnsi="Arial" w:cs="Arial"/>
                <w:b/>
                <w:sz w:val="22"/>
                <w:szCs w:val="22"/>
              </w:rPr>
            </w:pPr>
          </w:p>
        </w:tc>
        <w:tc>
          <w:tcPr>
            <w:tcW w:w="1525" w:type="dxa"/>
          </w:tcPr>
          <w:p w14:paraId="4BEDB257" w14:textId="77777777" w:rsidR="00BB6A18" w:rsidRPr="00C55ADB" w:rsidRDefault="00BB6A18">
            <w:pPr>
              <w:suppressAutoHyphens w:val="0"/>
              <w:spacing w:before="120" w:after="120"/>
              <w:rPr>
                <w:rFonts w:ascii="Arial" w:hAnsi="Arial" w:cs="Arial"/>
                <w:sz w:val="22"/>
                <w:szCs w:val="22"/>
              </w:rPr>
            </w:pPr>
            <w:r w:rsidRPr="00C55ADB">
              <w:rPr>
                <w:rFonts w:ascii="Arial" w:hAnsi="Arial" w:cs="Arial"/>
                <w:sz w:val="22"/>
                <w:szCs w:val="22"/>
              </w:rPr>
              <w:t>Quality rating:</w:t>
            </w:r>
          </w:p>
        </w:tc>
        <w:tc>
          <w:tcPr>
            <w:tcW w:w="6296" w:type="dxa"/>
          </w:tcPr>
          <w:p w14:paraId="78DF9070" w14:textId="77777777" w:rsidR="00BB6A18" w:rsidRPr="00C55ADB" w:rsidRDefault="00BB6A18">
            <w:pPr>
              <w:suppressAutoHyphens w:val="0"/>
              <w:spacing w:before="120" w:after="120"/>
              <w:rPr>
                <w:rFonts w:ascii="Arial" w:hAnsi="Arial" w:cs="Arial"/>
                <w:bCs/>
                <w:sz w:val="22"/>
                <w:szCs w:val="22"/>
              </w:rPr>
            </w:pPr>
            <w:r w:rsidRPr="00C55ADB">
              <w:rPr>
                <w:rFonts w:ascii="Arial" w:hAnsi="Arial" w:cs="Arial"/>
                <w:bCs/>
                <w:sz w:val="22"/>
                <w:szCs w:val="22"/>
              </w:rPr>
              <w:t>Good</w:t>
            </w:r>
          </w:p>
        </w:tc>
      </w:tr>
      <w:tr w:rsidR="00BB6A18" w:rsidRPr="00C55ADB" w14:paraId="5C40B435" w14:textId="77777777">
        <w:trPr>
          <w:trHeight w:val="454"/>
        </w:trPr>
        <w:tc>
          <w:tcPr>
            <w:tcW w:w="1819" w:type="dxa"/>
            <w:vMerge/>
          </w:tcPr>
          <w:p w14:paraId="45D65128" w14:textId="77777777" w:rsidR="00BB6A18" w:rsidRPr="00C55ADB" w:rsidRDefault="00BB6A18">
            <w:pPr>
              <w:suppressAutoHyphens w:val="0"/>
              <w:rPr>
                <w:rFonts w:ascii="Arial" w:hAnsi="Arial" w:cs="Arial"/>
                <w:b/>
                <w:sz w:val="22"/>
                <w:szCs w:val="22"/>
              </w:rPr>
            </w:pPr>
          </w:p>
        </w:tc>
        <w:tc>
          <w:tcPr>
            <w:tcW w:w="1525" w:type="dxa"/>
          </w:tcPr>
          <w:p w14:paraId="49F456AE" w14:textId="77777777" w:rsidR="00BB6A18" w:rsidRPr="00C55ADB" w:rsidRDefault="00BB6A18">
            <w:pPr>
              <w:suppressAutoHyphens w:val="0"/>
              <w:spacing w:before="120" w:after="120"/>
              <w:rPr>
                <w:rFonts w:ascii="Arial" w:hAnsi="Arial" w:cs="Arial"/>
                <w:sz w:val="22"/>
                <w:szCs w:val="22"/>
              </w:rPr>
            </w:pPr>
            <w:r w:rsidRPr="00C55ADB">
              <w:rPr>
                <w:rFonts w:ascii="Arial" w:hAnsi="Arial" w:cs="Arial"/>
                <w:sz w:val="22"/>
                <w:szCs w:val="22"/>
              </w:rPr>
              <w:t>Assessment rationale summary:</w:t>
            </w:r>
          </w:p>
        </w:tc>
        <w:tc>
          <w:tcPr>
            <w:tcW w:w="6296" w:type="dxa"/>
          </w:tcPr>
          <w:p w14:paraId="3DAE214F" w14:textId="77777777" w:rsidR="00BB6A18" w:rsidRPr="00C55ADB" w:rsidRDefault="00BB6A18">
            <w:pPr>
              <w:suppressAutoHyphens w:val="0"/>
              <w:spacing w:before="120" w:after="120"/>
              <w:rPr>
                <w:rFonts w:ascii="Arial" w:hAnsi="Arial" w:cs="Arial"/>
                <w:bCs/>
                <w:sz w:val="22"/>
                <w:szCs w:val="22"/>
              </w:rPr>
            </w:pPr>
            <w:r w:rsidRPr="003274C9">
              <w:rPr>
                <w:rFonts w:ascii="Arial" w:hAnsi="Arial" w:cs="Arial"/>
                <w:sz w:val="22"/>
                <w:szCs w:val="18"/>
              </w:rPr>
              <w:t>The data set is clear and the methodology sound.  However, given the possible negative trends for tamariki Māori, Stats NZ should be looking for a large sample set to avoid incremental creep in tamariki Māori poverty levels to be written off as possible sampling errors.</w:t>
            </w:r>
          </w:p>
        </w:tc>
      </w:tr>
    </w:tbl>
    <w:p w14:paraId="61F90433" w14:textId="77777777" w:rsidR="000C6175" w:rsidRDefault="000C6175" w:rsidP="00512709">
      <w:pPr>
        <w:pStyle w:val="BodyText"/>
        <w:suppressAutoHyphens w:val="0"/>
        <w:rPr>
          <w:rFonts w:cs="Arial"/>
          <w:b/>
          <w:szCs w:val="24"/>
        </w:rPr>
      </w:pPr>
    </w:p>
    <w:tbl>
      <w:tblPr>
        <w:tblStyle w:val="TableGrid"/>
        <w:tblW w:w="9640" w:type="dxa"/>
        <w:tblInd w:w="-856" w:type="dxa"/>
        <w:tblLook w:val="04A0" w:firstRow="1" w:lastRow="0" w:firstColumn="1" w:lastColumn="0" w:noHBand="0" w:noVBand="1"/>
      </w:tblPr>
      <w:tblGrid>
        <w:gridCol w:w="6218"/>
        <w:gridCol w:w="1129"/>
        <w:gridCol w:w="1132"/>
        <w:gridCol w:w="1161"/>
      </w:tblGrid>
      <w:tr w:rsidR="00BB6A18" w:rsidRPr="00217844" w14:paraId="6EB8C9FC" w14:textId="77777777">
        <w:tc>
          <w:tcPr>
            <w:tcW w:w="6314" w:type="dxa"/>
          </w:tcPr>
          <w:p w14:paraId="2966F6E6" w14:textId="77777777" w:rsidR="00BB6A18" w:rsidRPr="00BA389A" w:rsidRDefault="00BB6A18">
            <w:pPr>
              <w:rPr>
                <w:rFonts w:ascii="Arial" w:hAnsi="Arial" w:cs="Arial"/>
                <w:b/>
                <w:bCs/>
                <w:sz w:val="20"/>
                <w:lang w:val="mi-NZ"/>
              </w:rPr>
            </w:pPr>
            <w:r w:rsidRPr="00BA389A">
              <w:rPr>
                <w:rFonts w:ascii="Arial" w:hAnsi="Arial" w:cs="Arial"/>
                <w:b/>
                <w:i/>
              </w:rPr>
              <w:br w:type="page"/>
            </w:r>
            <w:r w:rsidRPr="00BA389A">
              <w:rPr>
                <w:rFonts w:ascii="Arial" w:hAnsi="Arial" w:cs="Arial"/>
                <w:b/>
                <w:bCs/>
                <w:sz w:val="20"/>
                <w:lang w:val="mi-NZ"/>
              </w:rPr>
              <w:t>Appendix One: Statistics NZ</w:t>
            </w:r>
          </w:p>
          <w:p w14:paraId="6E1A905F" w14:textId="77777777" w:rsidR="00BB6A18" w:rsidRPr="00BA389A" w:rsidRDefault="00BB6A18">
            <w:pPr>
              <w:rPr>
                <w:rFonts w:ascii="Arial" w:hAnsi="Arial" w:cs="Arial"/>
                <w:b/>
                <w:bCs/>
                <w:sz w:val="20"/>
                <w:lang w:val="mi-NZ"/>
              </w:rPr>
            </w:pPr>
            <w:r w:rsidRPr="00BA389A">
              <w:rPr>
                <w:rFonts w:ascii="Arial" w:hAnsi="Arial" w:cs="Arial"/>
                <w:b/>
                <w:bCs/>
                <w:sz w:val="20"/>
                <w:lang w:val="mi-NZ"/>
              </w:rPr>
              <w:t xml:space="preserve">Child Poverty Statistics </w:t>
            </w:r>
          </w:p>
          <w:p w14:paraId="0C217CE8" w14:textId="77777777" w:rsidR="00BB6A18" w:rsidRPr="00BA389A" w:rsidRDefault="00BB6A18">
            <w:pPr>
              <w:rPr>
                <w:rFonts w:ascii="Arial" w:hAnsi="Arial" w:cs="Arial"/>
                <w:b/>
                <w:bCs/>
                <w:sz w:val="20"/>
                <w:lang w:val="mi-NZ"/>
              </w:rPr>
            </w:pPr>
            <w:r w:rsidRPr="00BA389A">
              <w:rPr>
                <w:rFonts w:ascii="Arial" w:hAnsi="Arial" w:cs="Arial"/>
                <w:b/>
                <w:bCs/>
                <w:sz w:val="20"/>
                <w:lang w:val="mi-NZ"/>
              </w:rPr>
              <w:t>Year to 30 June 2025</w:t>
            </w:r>
          </w:p>
          <w:p w14:paraId="7BC19570" w14:textId="77777777" w:rsidR="00BB6A18" w:rsidRPr="00BA389A" w:rsidRDefault="00BB6A18">
            <w:pPr>
              <w:rPr>
                <w:rFonts w:ascii="Arial" w:hAnsi="Arial" w:cs="Arial"/>
                <w:sz w:val="20"/>
                <w:lang w:val="mi-NZ"/>
              </w:rPr>
            </w:pPr>
          </w:p>
        </w:tc>
        <w:tc>
          <w:tcPr>
            <w:tcW w:w="1132" w:type="dxa"/>
          </w:tcPr>
          <w:p w14:paraId="4C8EDCA1" w14:textId="77777777" w:rsidR="00BB6A18" w:rsidRPr="00BA389A" w:rsidRDefault="00BB6A18">
            <w:pPr>
              <w:rPr>
                <w:rFonts w:ascii="Arial" w:hAnsi="Arial" w:cs="Arial"/>
                <w:sz w:val="20"/>
                <w:lang w:val="mi-NZ"/>
              </w:rPr>
            </w:pPr>
            <w:r w:rsidRPr="00BA389A">
              <w:rPr>
                <w:rFonts w:ascii="Arial" w:hAnsi="Arial" w:cs="Arial"/>
                <w:sz w:val="20"/>
                <w:lang w:val="mi-NZ"/>
              </w:rPr>
              <w:t>Māori</w:t>
            </w:r>
          </w:p>
          <w:p w14:paraId="1FB2D88B" w14:textId="77777777" w:rsidR="00BB6A18" w:rsidRPr="00BA389A" w:rsidRDefault="00BB6A18">
            <w:pPr>
              <w:rPr>
                <w:rFonts w:ascii="Arial" w:hAnsi="Arial" w:cs="Arial"/>
                <w:sz w:val="20"/>
                <w:lang w:val="mi-NZ"/>
              </w:rPr>
            </w:pPr>
            <w:r w:rsidRPr="00BA389A">
              <w:rPr>
                <w:rFonts w:ascii="Arial" w:hAnsi="Arial" w:cs="Arial"/>
                <w:sz w:val="20"/>
                <w:lang w:val="mi-NZ"/>
              </w:rPr>
              <w:t>tamariki 306,300 in total</w:t>
            </w:r>
          </w:p>
        </w:tc>
        <w:tc>
          <w:tcPr>
            <w:tcW w:w="1133" w:type="dxa"/>
          </w:tcPr>
          <w:p w14:paraId="2B2A0DFC" w14:textId="77777777" w:rsidR="00BB6A18" w:rsidRPr="00BA389A" w:rsidRDefault="00BB6A18">
            <w:pPr>
              <w:rPr>
                <w:rFonts w:ascii="Arial" w:hAnsi="Arial" w:cs="Arial"/>
                <w:sz w:val="20"/>
                <w:lang w:val="mi-NZ"/>
              </w:rPr>
            </w:pPr>
            <w:r w:rsidRPr="00BA389A">
              <w:rPr>
                <w:rFonts w:ascii="Arial" w:hAnsi="Arial" w:cs="Arial"/>
                <w:sz w:val="20"/>
                <w:lang w:val="mi-NZ"/>
              </w:rPr>
              <w:t>All ethnicities</w:t>
            </w:r>
          </w:p>
          <w:p w14:paraId="07674CF3" w14:textId="77777777" w:rsidR="00BB6A18" w:rsidRPr="00BA389A" w:rsidRDefault="00BB6A18">
            <w:pPr>
              <w:rPr>
                <w:rFonts w:ascii="Arial" w:hAnsi="Arial" w:cs="Arial"/>
                <w:sz w:val="20"/>
                <w:lang w:val="mi-NZ"/>
              </w:rPr>
            </w:pPr>
            <w:r w:rsidRPr="00BA389A">
              <w:rPr>
                <w:rFonts w:ascii="Arial" w:hAnsi="Arial" w:cs="Arial"/>
                <w:sz w:val="20"/>
                <w:lang w:val="mi-NZ"/>
              </w:rPr>
              <w:t>(includes Māori)</w:t>
            </w:r>
          </w:p>
          <w:p w14:paraId="20FFB5EF" w14:textId="77777777" w:rsidR="00BB6A18" w:rsidRPr="00BA389A" w:rsidRDefault="00BB6A18">
            <w:pPr>
              <w:rPr>
                <w:rFonts w:ascii="Arial" w:hAnsi="Arial" w:cs="Arial"/>
                <w:sz w:val="20"/>
              </w:rPr>
            </w:pPr>
            <w:r w:rsidRPr="00BA389A">
              <w:rPr>
                <w:rFonts w:ascii="Arial" w:hAnsi="Arial" w:cs="Arial"/>
                <w:sz w:val="20"/>
                <w:lang w:val="mi-NZ"/>
              </w:rPr>
              <w:t xml:space="preserve">1,182,200 children </w:t>
            </w:r>
          </w:p>
        </w:tc>
        <w:tc>
          <w:tcPr>
            <w:tcW w:w="1061" w:type="dxa"/>
          </w:tcPr>
          <w:p w14:paraId="0CF35962" w14:textId="77777777" w:rsidR="00BB6A18" w:rsidRPr="00BA389A" w:rsidRDefault="00BB6A18">
            <w:pPr>
              <w:rPr>
                <w:rFonts w:ascii="Arial" w:hAnsi="Arial" w:cs="Arial"/>
                <w:sz w:val="20"/>
                <w:lang w:val="mi-NZ"/>
              </w:rPr>
            </w:pPr>
            <w:r w:rsidRPr="00BA389A">
              <w:rPr>
                <w:rFonts w:ascii="Arial" w:hAnsi="Arial" w:cs="Arial"/>
                <w:sz w:val="20"/>
                <w:lang w:val="mi-NZ"/>
              </w:rPr>
              <w:t>Māori Percentile Disparity</w:t>
            </w:r>
          </w:p>
        </w:tc>
      </w:tr>
      <w:tr w:rsidR="00BB6A18" w:rsidRPr="003C10EE" w14:paraId="4A5B85B1" w14:textId="77777777">
        <w:tc>
          <w:tcPr>
            <w:tcW w:w="6314" w:type="dxa"/>
          </w:tcPr>
          <w:p w14:paraId="4229AA07" w14:textId="77777777" w:rsidR="00BB6A18" w:rsidRPr="00BA389A" w:rsidRDefault="00BB6A18">
            <w:pPr>
              <w:rPr>
                <w:rFonts w:ascii="Arial" w:hAnsi="Arial" w:cs="Arial"/>
                <w:color w:val="000000"/>
                <w:sz w:val="20"/>
              </w:rPr>
            </w:pPr>
            <w:r w:rsidRPr="00BA389A">
              <w:rPr>
                <w:rFonts w:ascii="Arial" w:hAnsi="Arial" w:cs="Arial"/>
                <w:color w:val="000000"/>
                <w:sz w:val="20"/>
              </w:rPr>
              <w:t>Table 1.03</w:t>
            </w:r>
          </w:p>
          <w:p w14:paraId="536CB485" w14:textId="77777777" w:rsidR="00BB6A18" w:rsidRPr="00BA389A" w:rsidRDefault="00BB6A18">
            <w:pPr>
              <w:rPr>
                <w:rFonts w:ascii="Arial" w:hAnsi="Arial" w:cs="Arial"/>
                <w:color w:val="000000"/>
                <w:sz w:val="20"/>
              </w:rPr>
            </w:pPr>
            <w:r w:rsidRPr="00BA389A">
              <w:rPr>
                <w:rFonts w:ascii="Arial" w:hAnsi="Arial" w:cs="Arial"/>
                <w:color w:val="000000"/>
                <w:sz w:val="20"/>
              </w:rPr>
              <w:t xml:space="preserve">Percentage of children living in households in New Zealand in each financial year who fell in: Low income: less than 50% median equivalised disposable household income before housing costs (BHC) for the financial year </w:t>
            </w:r>
          </w:p>
          <w:p w14:paraId="0C563453" w14:textId="77777777" w:rsidR="00BB6A18" w:rsidRPr="00BA389A" w:rsidRDefault="00BB6A18">
            <w:pPr>
              <w:rPr>
                <w:rFonts w:ascii="Arial" w:hAnsi="Arial" w:cs="Arial"/>
                <w:color w:val="000000"/>
                <w:sz w:val="20"/>
              </w:rPr>
            </w:pPr>
          </w:p>
        </w:tc>
        <w:tc>
          <w:tcPr>
            <w:tcW w:w="1132" w:type="dxa"/>
          </w:tcPr>
          <w:p w14:paraId="62221E1B" w14:textId="77777777" w:rsidR="00BB6A18" w:rsidRPr="00BA389A" w:rsidRDefault="00BB6A18">
            <w:pPr>
              <w:rPr>
                <w:rFonts w:ascii="Arial" w:hAnsi="Arial" w:cs="Arial"/>
                <w:sz w:val="20"/>
                <w:lang w:val="mi-NZ"/>
              </w:rPr>
            </w:pPr>
          </w:p>
          <w:p w14:paraId="51E9D65D" w14:textId="77777777" w:rsidR="00BB6A18" w:rsidRPr="00BA389A" w:rsidRDefault="00BB6A18">
            <w:pPr>
              <w:rPr>
                <w:rFonts w:ascii="Arial" w:hAnsi="Arial" w:cs="Arial"/>
                <w:sz w:val="20"/>
                <w:lang w:val="mi-NZ"/>
              </w:rPr>
            </w:pPr>
            <w:r w:rsidRPr="00BA389A">
              <w:rPr>
                <w:rFonts w:ascii="Arial" w:hAnsi="Arial" w:cs="Arial"/>
                <w:sz w:val="20"/>
                <w:lang w:val="mi-NZ"/>
              </w:rPr>
              <w:t xml:space="preserve">15.0% </w:t>
            </w:r>
          </w:p>
          <w:p w14:paraId="12D17E7C" w14:textId="77777777" w:rsidR="00BB6A18" w:rsidRPr="00BA389A" w:rsidRDefault="00BB6A18">
            <w:pPr>
              <w:rPr>
                <w:rFonts w:ascii="Arial" w:hAnsi="Arial" w:cs="Arial"/>
                <w:sz w:val="20"/>
                <w:lang w:val="mi-NZ"/>
              </w:rPr>
            </w:pPr>
          </w:p>
          <w:p w14:paraId="09EE2694" w14:textId="77777777" w:rsidR="00BB6A18" w:rsidRPr="00BA389A" w:rsidRDefault="00BB6A18">
            <w:pPr>
              <w:rPr>
                <w:rFonts w:ascii="Arial" w:hAnsi="Arial" w:cs="Arial"/>
                <w:sz w:val="20"/>
                <w:lang w:val="mi-NZ"/>
              </w:rPr>
            </w:pPr>
            <w:r w:rsidRPr="00BA389A">
              <w:rPr>
                <w:rFonts w:ascii="Arial" w:hAnsi="Arial" w:cs="Arial"/>
                <w:sz w:val="20"/>
                <w:lang w:val="mi-NZ"/>
              </w:rPr>
              <w:t>45,800</w:t>
            </w:r>
          </w:p>
          <w:p w14:paraId="104AB2D7" w14:textId="77777777" w:rsidR="00BB6A18" w:rsidRPr="00BA389A" w:rsidRDefault="00BB6A18">
            <w:pPr>
              <w:rPr>
                <w:rFonts w:ascii="Arial" w:hAnsi="Arial" w:cs="Arial"/>
                <w:sz w:val="20"/>
                <w:lang w:val="mi-NZ"/>
              </w:rPr>
            </w:pPr>
          </w:p>
        </w:tc>
        <w:tc>
          <w:tcPr>
            <w:tcW w:w="1133" w:type="dxa"/>
          </w:tcPr>
          <w:p w14:paraId="1CBBA8FD" w14:textId="77777777" w:rsidR="00BB6A18" w:rsidRPr="00BA389A" w:rsidRDefault="00BB6A18">
            <w:pPr>
              <w:rPr>
                <w:rFonts w:ascii="Arial" w:hAnsi="Arial" w:cs="Arial"/>
                <w:sz w:val="20"/>
                <w:lang w:val="mi-NZ"/>
              </w:rPr>
            </w:pPr>
          </w:p>
          <w:p w14:paraId="664EC54E" w14:textId="77777777" w:rsidR="00BB6A18" w:rsidRPr="00BA389A" w:rsidRDefault="00BB6A18">
            <w:pPr>
              <w:rPr>
                <w:rFonts w:ascii="Arial" w:hAnsi="Arial" w:cs="Arial"/>
                <w:sz w:val="20"/>
                <w:lang w:val="mi-NZ"/>
              </w:rPr>
            </w:pPr>
            <w:r w:rsidRPr="00BA389A">
              <w:rPr>
                <w:rFonts w:ascii="Arial" w:hAnsi="Arial" w:cs="Arial"/>
                <w:sz w:val="20"/>
                <w:lang w:val="mi-NZ"/>
              </w:rPr>
              <w:t>12.6%</w:t>
            </w:r>
          </w:p>
          <w:p w14:paraId="76F4218A" w14:textId="77777777" w:rsidR="00BB6A18" w:rsidRPr="00BA389A" w:rsidRDefault="00BB6A18">
            <w:pPr>
              <w:rPr>
                <w:rFonts w:ascii="Arial" w:hAnsi="Arial" w:cs="Arial"/>
                <w:sz w:val="20"/>
                <w:lang w:val="mi-NZ"/>
              </w:rPr>
            </w:pPr>
          </w:p>
          <w:p w14:paraId="0EB7B408" w14:textId="77777777" w:rsidR="00BB6A18" w:rsidRPr="00BA389A" w:rsidRDefault="00BB6A18">
            <w:pPr>
              <w:rPr>
                <w:rFonts w:ascii="Arial" w:hAnsi="Arial" w:cs="Arial"/>
                <w:sz w:val="20"/>
                <w:lang w:val="mi-NZ"/>
              </w:rPr>
            </w:pPr>
            <w:r w:rsidRPr="00BA389A">
              <w:rPr>
                <w:rFonts w:ascii="Arial" w:hAnsi="Arial" w:cs="Arial"/>
                <w:sz w:val="20"/>
                <w:lang w:val="mi-NZ"/>
              </w:rPr>
              <w:t>148,700</w:t>
            </w:r>
          </w:p>
        </w:tc>
        <w:tc>
          <w:tcPr>
            <w:tcW w:w="1061" w:type="dxa"/>
          </w:tcPr>
          <w:p w14:paraId="388244FD" w14:textId="77777777" w:rsidR="00BB6A18" w:rsidRPr="00BA389A" w:rsidRDefault="00BB6A18">
            <w:pPr>
              <w:rPr>
                <w:rFonts w:ascii="Arial" w:hAnsi="Arial" w:cs="Arial"/>
                <w:sz w:val="20"/>
                <w:lang w:val="mi-NZ"/>
              </w:rPr>
            </w:pPr>
          </w:p>
          <w:p w14:paraId="789D6C95" w14:textId="77777777" w:rsidR="00BB6A18" w:rsidRPr="00BA389A" w:rsidRDefault="00BB6A18">
            <w:pPr>
              <w:rPr>
                <w:rFonts w:ascii="Arial" w:hAnsi="Arial" w:cs="Arial"/>
                <w:sz w:val="20"/>
                <w:lang w:val="mi-NZ"/>
              </w:rPr>
            </w:pPr>
            <w:r w:rsidRPr="00BA389A">
              <w:rPr>
                <w:rFonts w:ascii="Arial" w:hAnsi="Arial" w:cs="Arial"/>
                <w:sz w:val="20"/>
                <w:lang w:val="mi-NZ"/>
              </w:rPr>
              <w:t>2.4 percentile points</w:t>
            </w:r>
          </w:p>
        </w:tc>
      </w:tr>
      <w:tr w:rsidR="00BB6A18" w:rsidRPr="003C10EE" w14:paraId="45A66C63" w14:textId="77777777">
        <w:tc>
          <w:tcPr>
            <w:tcW w:w="6314" w:type="dxa"/>
          </w:tcPr>
          <w:p w14:paraId="3424B0FE" w14:textId="77777777" w:rsidR="00BB6A18" w:rsidRPr="00BA389A" w:rsidRDefault="00BB6A18">
            <w:pPr>
              <w:rPr>
                <w:rFonts w:ascii="Arial" w:hAnsi="Arial" w:cs="Arial"/>
                <w:b/>
                <w:bCs/>
                <w:color w:val="000000"/>
                <w:sz w:val="20"/>
              </w:rPr>
            </w:pPr>
            <w:r w:rsidRPr="00BA389A">
              <w:rPr>
                <w:rFonts w:ascii="Arial" w:hAnsi="Arial" w:cs="Arial"/>
                <w:b/>
                <w:bCs/>
                <w:color w:val="000000"/>
                <w:sz w:val="20"/>
              </w:rPr>
              <w:t>Table 2.03</w:t>
            </w:r>
          </w:p>
          <w:p w14:paraId="7EA6C401" w14:textId="77777777" w:rsidR="00BB6A18" w:rsidRPr="00BA389A" w:rsidRDefault="00BB6A18">
            <w:pPr>
              <w:rPr>
                <w:rFonts w:ascii="Arial" w:hAnsi="Arial" w:cs="Arial"/>
                <w:b/>
                <w:bCs/>
                <w:color w:val="000000"/>
                <w:sz w:val="20"/>
                <w:vertAlign w:val="superscript"/>
              </w:rPr>
            </w:pPr>
            <w:r w:rsidRPr="00BA389A">
              <w:rPr>
                <w:rFonts w:ascii="Arial" w:hAnsi="Arial" w:cs="Arial"/>
                <w:b/>
                <w:bCs/>
                <w:color w:val="000000"/>
                <w:sz w:val="20"/>
              </w:rPr>
              <w:t xml:space="preserve">Percentage of children living in households in New Zealand in each financial year who fell in: Low income: less than 50% median equivalised disposable household income after housing costs (AHC) for the base financial </w:t>
            </w:r>
            <w:proofErr w:type="gramStart"/>
            <w:r w:rsidRPr="00BA389A">
              <w:rPr>
                <w:rFonts w:ascii="Arial" w:hAnsi="Arial" w:cs="Arial"/>
                <w:b/>
                <w:bCs/>
                <w:color w:val="000000"/>
                <w:sz w:val="20"/>
              </w:rPr>
              <w:t>year</w:t>
            </w:r>
            <w:r w:rsidRPr="00BA389A">
              <w:rPr>
                <w:rFonts w:ascii="Arial" w:hAnsi="Arial" w:cs="Arial"/>
                <w:b/>
                <w:bCs/>
                <w:color w:val="000000"/>
                <w:sz w:val="20"/>
                <w:vertAlign w:val="superscript"/>
              </w:rPr>
              <w:t>(</w:t>
            </w:r>
            <w:proofErr w:type="gramEnd"/>
            <w:r w:rsidRPr="00BA389A">
              <w:rPr>
                <w:rFonts w:ascii="Arial" w:hAnsi="Arial" w:cs="Arial"/>
                <w:b/>
                <w:bCs/>
                <w:color w:val="000000"/>
                <w:sz w:val="20"/>
                <w:vertAlign w:val="superscript"/>
              </w:rPr>
              <w:t>1)</w:t>
            </w:r>
          </w:p>
          <w:p w14:paraId="5EBA625B" w14:textId="77777777" w:rsidR="00BB6A18" w:rsidRPr="00BA389A" w:rsidRDefault="00BB6A18">
            <w:pPr>
              <w:rPr>
                <w:rFonts w:ascii="Arial" w:hAnsi="Arial" w:cs="Arial"/>
                <w:b/>
                <w:bCs/>
                <w:color w:val="000000"/>
                <w:sz w:val="20"/>
              </w:rPr>
            </w:pPr>
          </w:p>
        </w:tc>
        <w:tc>
          <w:tcPr>
            <w:tcW w:w="1132" w:type="dxa"/>
          </w:tcPr>
          <w:p w14:paraId="2F5C30F9" w14:textId="77777777" w:rsidR="00BB6A18" w:rsidRPr="00BA389A" w:rsidRDefault="00BB6A18">
            <w:pPr>
              <w:rPr>
                <w:rFonts w:ascii="Arial" w:hAnsi="Arial" w:cs="Arial"/>
                <w:b/>
                <w:bCs/>
                <w:sz w:val="20"/>
                <w:lang w:val="mi-NZ"/>
              </w:rPr>
            </w:pPr>
          </w:p>
          <w:p w14:paraId="7ECF9A38" w14:textId="77777777" w:rsidR="00BB6A18" w:rsidRPr="00BA389A" w:rsidRDefault="00BB6A18">
            <w:pPr>
              <w:rPr>
                <w:rFonts w:ascii="Arial" w:hAnsi="Arial" w:cs="Arial"/>
                <w:b/>
                <w:bCs/>
                <w:sz w:val="20"/>
                <w:lang w:val="mi-NZ"/>
              </w:rPr>
            </w:pPr>
            <w:r w:rsidRPr="00BA389A">
              <w:rPr>
                <w:rFonts w:ascii="Arial" w:hAnsi="Arial" w:cs="Arial"/>
                <w:b/>
                <w:bCs/>
                <w:sz w:val="20"/>
                <w:lang w:val="mi-NZ"/>
              </w:rPr>
              <w:t>18.9%</w:t>
            </w:r>
          </w:p>
          <w:p w14:paraId="7D5C4768" w14:textId="77777777" w:rsidR="00BB6A18" w:rsidRPr="00BA389A" w:rsidRDefault="00BB6A18">
            <w:pPr>
              <w:rPr>
                <w:rFonts w:ascii="Arial" w:hAnsi="Arial" w:cs="Arial"/>
                <w:b/>
                <w:bCs/>
                <w:sz w:val="20"/>
                <w:lang w:val="mi-NZ"/>
              </w:rPr>
            </w:pPr>
          </w:p>
          <w:p w14:paraId="582C64BB" w14:textId="77777777" w:rsidR="00BB6A18" w:rsidRPr="00BA389A" w:rsidRDefault="00BB6A18">
            <w:pPr>
              <w:rPr>
                <w:rFonts w:ascii="Arial" w:hAnsi="Arial" w:cs="Arial"/>
                <w:b/>
                <w:bCs/>
                <w:sz w:val="20"/>
                <w:lang w:val="mi-NZ"/>
              </w:rPr>
            </w:pPr>
            <w:r w:rsidRPr="00BA389A">
              <w:rPr>
                <w:rFonts w:ascii="Arial" w:hAnsi="Arial" w:cs="Arial"/>
                <w:b/>
                <w:bCs/>
                <w:sz w:val="20"/>
                <w:lang w:val="mi-NZ"/>
              </w:rPr>
              <w:t>58,000</w:t>
            </w:r>
          </w:p>
        </w:tc>
        <w:tc>
          <w:tcPr>
            <w:tcW w:w="1133" w:type="dxa"/>
          </w:tcPr>
          <w:p w14:paraId="3A212ED4" w14:textId="77777777" w:rsidR="00BB6A18" w:rsidRPr="00BA389A" w:rsidRDefault="00BB6A18">
            <w:pPr>
              <w:rPr>
                <w:rFonts w:ascii="Arial" w:hAnsi="Arial" w:cs="Arial"/>
                <w:b/>
                <w:bCs/>
                <w:sz w:val="20"/>
                <w:lang w:val="mi-NZ"/>
              </w:rPr>
            </w:pPr>
          </w:p>
          <w:p w14:paraId="260E4D24" w14:textId="77777777" w:rsidR="00BB6A18" w:rsidRPr="00BA389A" w:rsidRDefault="00BB6A18">
            <w:pPr>
              <w:rPr>
                <w:rFonts w:ascii="Arial" w:hAnsi="Arial" w:cs="Arial"/>
                <w:b/>
                <w:bCs/>
                <w:sz w:val="20"/>
                <w:lang w:val="mi-NZ"/>
              </w:rPr>
            </w:pPr>
            <w:r w:rsidRPr="00BA389A">
              <w:rPr>
                <w:rFonts w:ascii="Arial" w:hAnsi="Arial" w:cs="Arial"/>
                <w:b/>
                <w:bCs/>
                <w:sz w:val="20"/>
                <w:lang w:val="mi-NZ"/>
              </w:rPr>
              <w:t>17.8%</w:t>
            </w:r>
          </w:p>
          <w:p w14:paraId="0DB2148E" w14:textId="77777777" w:rsidR="00BB6A18" w:rsidRPr="00BA389A" w:rsidRDefault="00BB6A18">
            <w:pPr>
              <w:rPr>
                <w:rFonts w:ascii="Arial" w:hAnsi="Arial" w:cs="Arial"/>
                <w:b/>
                <w:bCs/>
                <w:sz w:val="20"/>
                <w:lang w:val="mi-NZ"/>
              </w:rPr>
            </w:pPr>
          </w:p>
          <w:p w14:paraId="03CB4117" w14:textId="77777777" w:rsidR="00BB6A18" w:rsidRPr="00BA389A" w:rsidRDefault="00BB6A18">
            <w:pPr>
              <w:rPr>
                <w:rFonts w:ascii="Arial" w:hAnsi="Arial" w:cs="Arial"/>
                <w:b/>
                <w:bCs/>
                <w:sz w:val="20"/>
                <w:lang w:val="mi-NZ"/>
              </w:rPr>
            </w:pPr>
            <w:r w:rsidRPr="00BA389A">
              <w:rPr>
                <w:rFonts w:ascii="Arial" w:hAnsi="Arial" w:cs="Arial"/>
                <w:b/>
                <w:bCs/>
                <w:sz w:val="20"/>
                <w:lang w:val="mi-NZ"/>
              </w:rPr>
              <w:t>210,600</w:t>
            </w:r>
          </w:p>
        </w:tc>
        <w:tc>
          <w:tcPr>
            <w:tcW w:w="1061" w:type="dxa"/>
          </w:tcPr>
          <w:p w14:paraId="278CB6FF" w14:textId="77777777" w:rsidR="00BB6A18" w:rsidRPr="00BA389A" w:rsidRDefault="00BB6A18">
            <w:pPr>
              <w:rPr>
                <w:rFonts w:ascii="Arial" w:hAnsi="Arial" w:cs="Arial"/>
                <w:b/>
                <w:bCs/>
                <w:sz w:val="20"/>
                <w:lang w:val="mi-NZ"/>
              </w:rPr>
            </w:pPr>
          </w:p>
          <w:p w14:paraId="5C550B7C" w14:textId="77777777" w:rsidR="00BB6A18" w:rsidRPr="00BA389A" w:rsidRDefault="00BB6A18">
            <w:pPr>
              <w:rPr>
                <w:rFonts w:ascii="Arial" w:hAnsi="Arial" w:cs="Arial"/>
                <w:b/>
                <w:bCs/>
                <w:sz w:val="20"/>
                <w:lang w:val="mi-NZ"/>
              </w:rPr>
            </w:pPr>
            <w:r w:rsidRPr="00BA389A">
              <w:rPr>
                <w:rFonts w:ascii="Arial" w:hAnsi="Arial" w:cs="Arial"/>
                <w:b/>
                <w:bCs/>
                <w:sz w:val="20"/>
                <w:lang w:val="mi-NZ"/>
              </w:rPr>
              <w:t>1.1 percentile points</w:t>
            </w:r>
          </w:p>
        </w:tc>
      </w:tr>
      <w:tr w:rsidR="00BB6A18" w:rsidRPr="003C10EE" w14:paraId="419BF5B3" w14:textId="77777777">
        <w:tc>
          <w:tcPr>
            <w:tcW w:w="6314" w:type="dxa"/>
          </w:tcPr>
          <w:p w14:paraId="1C98F1BA" w14:textId="77777777" w:rsidR="00BB6A18" w:rsidRPr="00BA389A" w:rsidRDefault="00BB6A18">
            <w:pPr>
              <w:rPr>
                <w:rFonts w:ascii="Arial" w:hAnsi="Arial" w:cs="Arial"/>
                <w:color w:val="000000"/>
                <w:sz w:val="20"/>
              </w:rPr>
            </w:pPr>
            <w:r w:rsidRPr="00BA389A">
              <w:rPr>
                <w:rFonts w:ascii="Arial" w:hAnsi="Arial" w:cs="Arial"/>
                <w:color w:val="000000"/>
                <w:sz w:val="20"/>
              </w:rPr>
              <w:t>Table 3.03</w:t>
            </w:r>
          </w:p>
          <w:p w14:paraId="327E254B" w14:textId="77777777" w:rsidR="00BB6A18" w:rsidRPr="00BA389A" w:rsidRDefault="00BB6A18">
            <w:pPr>
              <w:rPr>
                <w:rFonts w:ascii="Arial" w:hAnsi="Arial" w:cs="Arial"/>
                <w:color w:val="000000"/>
                <w:sz w:val="20"/>
              </w:rPr>
            </w:pPr>
            <w:r w:rsidRPr="00BA389A">
              <w:rPr>
                <w:rFonts w:ascii="Arial" w:hAnsi="Arial" w:cs="Arial"/>
                <w:color w:val="000000"/>
                <w:sz w:val="20"/>
              </w:rPr>
              <w:t xml:space="preserve">Percentage of children living in households in New Zealand in each financial year in: Material </w:t>
            </w:r>
            <w:proofErr w:type="gramStart"/>
            <w:r w:rsidRPr="00BA389A">
              <w:rPr>
                <w:rFonts w:ascii="Arial" w:hAnsi="Arial" w:cs="Arial"/>
                <w:color w:val="000000"/>
                <w:sz w:val="20"/>
              </w:rPr>
              <w:t>hardship</w:t>
            </w:r>
            <w:r w:rsidRPr="00BA389A">
              <w:rPr>
                <w:rFonts w:ascii="Arial" w:hAnsi="Arial" w:cs="Arial"/>
                <w:color w:val="000000"/>
                <w:sz w:val="20"/>
                <w:vertAlign w:val="superscript"/>
              </w:rPr>
              <w:t>(</w:t>
            </w:r>
            <w:proofErr w:type="gramEnd"/>
            <w:r w:rsidRPr="00BA389A">
              <w:rPr>
                <w:rFonts w:ascii="Arial" w:hAnsi="Arial" w:cs="Arial"/>
                <w:color w:val="000000"/>
                <w:sz w:val="20"/>
                <w:vertAlign w:val="superscript"/>
              </w:rPr>
              <w:t>1)</w:t>
            </w:r>
          </w:p>
        </w:tc>
        <w:tc>
          <w:tcPr>
            <w:tcW w:w="1132" w:type="dxa"/>
          </w:tcPr>
          <w:p w14:paraId="2C6974FB" w14:textId="77777777" w:rsidR="00BB6A18" w:rsidRPr="00BA389A" w:rsidRDefault="00BB6A18">
            <w:pPr>
              <w:rPr>
                <w:rFonts w:ascii="Arial" w:hAnsi="Arial" w:cs="Arial"/>
                <w:sz w:val="20"/>
                <w:lang w:val="mi-NZ"/>
              </w:rPr>
            </w:pPr>
          </w:p>
          <w:p w14:paraId="64B986A4" w14:textId="77777777" w:rsidR="00BB6A18" w:rsidRPr="00BA389A" w:rsidRDefault="00BB6A18">
            <w:pPr>
              <w:rPr>
                <w:rFonts w:ascii="Arial" w:hAnsi="Arial" w:cs="Arial"/>
                <w:sz w:val="20"/>
                <w:lang w:val="mi-NZ"/>
              </w:rPr>
            </w:pPr>
            <w:r w:rsidRPr="00BA389A">
              <w:rPr>
                <w:rFonts w:ascii="Arial" w:hAnsi="Arial" w:cs="Arial"/>
                <w:sz w:val="20"/>
                <w:lang w:val="mi-NZ"/>
              </w:rPr>
              <w:t>25.1%</w:t>
            </w:r>
          </w:p>
          <w:p w14:paraId="3C6F2A07" w14:textId="77777777" w:rsidR="00BB6A18" w:rsidRPr="00BA389A" w:rsidRDefault="00BB6A18">
            <w:pPr>
              <w:rPr>
                <w:rFonts w:ascii="Arial" w:hAnsi="Arial" w:cs="Arial"/>
                <w:sz w:val="20"/>
                <w:lang w:val="mi-NZ"/>
              </w:rPr>
            </w:pPr>
          </w:p>
          <w:p w14:paraId="0FAC3054" w14:textId="77777777" w:rsidR="00BB6A18" w:rsidRPr="00BA389A" w:rsidRDefault="00BB6A18">
            <w:pPr>
              <w:rPr>
                <w:rFonts w:ascii="Arial" w:hAnsi="Arial" w:cs="Arial"/>
                <w:sz w:val="20"/>
                <w:lang w:val="mi-NZ"/>
              </w:rPr>
            </w:pPr>
            <w:r w:rsidRPr="00BA389A">
              <w:rPr>
                <w:rFonts w:ascii="Arial" w:hAnsi="Arial" w:cs="Arial"/>
                <w:sz w:val="20"/>
                <w:lang w:val="mi-NZ"/>
              </w:rPr>
              <w:t>76,900</w:t>
            </w:r>
          </w:p>
        </w:tc>
        <w:tc>
          <w:tcPr>
            <w:tcW w:w="1133" w:type="dxa"/>
          </w:tcPr>
          <w:p w14:paraId="5BC6BB90" w14:textId="77777777" w:rsidR="00BB6A18" w:rsidRPr="00BA389A" w:rsidRDefault="00BB6A18">
            <w:pPr>
              <w:rPr>
                <w:rFonts w:ascii="Arial" w:hAnsi="Arial" w:cs="Arial"/>
                <w:sz w:val="20"/>
                <w:lang w:val="mi-NZ"/>
              </w:rPr>
            </w:pPr>
          </w:p>
          <w:p w14:paraId="7216743A" w14:textId="77777777" w:rsidR="00BB6A18" w:rsidRPr="00BA389A" w:rsidRDefault="00BB6A18">
            <w:pPr>
              <w:rPr>
                <w:rFonts w:ascii="Arial" w:hAnsi="Arial" w:cs="Arial"/>
                <w:sz w:val="20"/>
                <w:lang w:val="mi-NZ"/>
              </w:rPr>
            </w:pPr>
            <w:r w:rsidRPr="00BA389A">
              <w:rPr>
                <w:rFonts w:ascii="Arial" w:hAnsi="Arial" w:cs="Arial"/>
                <w:sz w:val="20"/>
                <w:lang w:val="mi-NZ"/>
              </w:rPr>
              <w:t>14.31%</w:t>
            </w:r>
          </w:p>
          <w:p w14:paraId="6275CB01" w14:textId="77777777" w:rsidR="00BB6A18" w:rsidRPr="00BA389A" w:rsidRDefault="00BB6A18">
            <w:pPr>
              <w:rPr>
                <w:rFonts w:ascii="Arial" w:hAnsi="Arial" w:cs="Arial"/>
                <w:sz w:val="20"/>
                <w:lang w:val="mi-NZ"/>
              </w:rPr>
            </w:pPr>
          </w:p>
          <w:p w14:paraId="5BF9E1F8" w14:textId="77777777" w:rsidR="00BB6A18" w:rsidRPr="00BA389A" w:rsidRDefault="00BB6A18">
            <w:pPr>
              <w:rPr>
                <w:rFonts w:ascii="Arial" w:hAnsi="Arial" w:cs="Arial"/>
                <w:sz w:val="20"/>
                <w:lang w:val="mi-NZ"/>
              </w:rPr>
            </w:pPr>
            <w:r w:rsidRPr="00BA389A">
              <w:rPr>
                <w:rFonts w:ascii="Arial" w:hAnsi="Arial" w:cs="Arial"/>
                <w:sz w:val="20"/>
                <w:lang w:val="mi-NZ"/>
              </w:rPr>
              <w:t>169,300</w:t>
            </w:r>
          </w:p>
        </w:tc>
        <w:tc>
          <w:tcPr>
            <w:tcW w:w="1061" w:type="dxa"/>
          </w:tcPr>
          <w:p w14:paraId="1C5EC38F" w14:textId="77777777" w:rsidR="00BB6A18" w:rsidRPr="00BA389A" w:rsidRDefault="00BB6A18">
            <w:pPr>
              <w:rPr>
                <w:rFonts w:ascii="Arial" w:hAnsi="Arial" w:cs="Arial"/>
                <w:sz w:val="20"/>
                <w:lang w:val="mi-NZ"/>
              </w:rPr>
            </w:pPr>
          </w:p>
          <w:p w14:paraId="7A80FDF7" w14:textId="77777777" w:rsidR="00BB6A18" w:rsidRPr="00BA389A" w:rsidRDefault="00BB6A18">
            <w:pPr>
              <w:rPr>
                <w:rFonts w:ascii="Arial" w:hAnsi="Arial" w:cs="Arial"/>
                <w:sz w:val="20"/>
                <w:lang w:val="mi-NZ"/>
              </w:rPr>
            </w:pPr>
            <w:r w:rsidRPr="00BA389A">
              <w:rPr>
                <w:rFonts w:ascii="Arial" w:hAnsi="Arial" w:cs="Arial"/>
                <w:sz w:val="20"/>
                <w:lang w:val="mi-NZ"/>
              </w:rPr>
              <w:t>10.8 percentile points</w:t>
            </w:r>
          </w:p>
        </w:tc>
      </w:tr>
      <w:tr w:rsidR="00BB6A18" w:rsidRPr="003C10EE" w14:paraId="1329D21E" w14:textId="77777777">
        <w:tc>
          <w:tcPr>
            <w:tcW w:w="6314" w:type="dxa"/>
          </w:tcPr>
          <w:p w14:paraId="172DAF5E" w14:textId="77777777" w:rsidR="00BB6A18" w:rsidRPr="00BA389A" w:rsidRDefault="00BB6A18">
            <w:pPr>
              <w:rPr>
                <w:rFonts w:ascii="Arial" w:hAnsi="Arial" w:cs="Arial"/>
                <w:color w:val="000000"/>
                <w:sz w:val="20"/>
              </w:rPr>
            </w:pPr>
            <w:r w:rsidRPr="00BA389A">
              <w:rPr>
                <w:rFonts w:ascii="Arial" w:hAnsi="Arial" w:cs="Arial"/>
                <w:color w:val="000000"/>
                <w:sz w:val="20"/>
              </w:rPr>
              <w:t>Table 4.03</w:t>
            </w:r>
          </w:p>
          <w:p w14:paraId="4EAD6CBC" w14:textId="77777777" w:rsidR="00BB6A18" w:rsidRPr="00BA389A" w:rsidRDefault="00BB6A18">
            <w:pPr>
              <w:rPr>
                <w:rFonts w:ascii="Arial" w:hAnsi="Arial" w:cs="Arial"/>
                <w:color w:val="000000"/>
                <w:sz w:val="20"/>
              </w:rPr>
            </w:pPr>
            <w:r w:rsidRPr="00BA389A">
              <w:rPr>
                <w:rFonts w:ascii="Arial" w:hAnsi="Arial" w:cs="Arial"/>
                <w:color w:val="000000"/>
                <w:sz w:val="20"/>
              </w:rPr>
              <w:t>Percentage of children living in households in New Zealand in each financial year who fell in: Low income: less than 60% median equivalised disposable household income before housing costs (BHC) for the financial year</w:t>
            </w:r>
          </w:p>
          <w:p w14:paraId="6E313BFD" w14:textId="77777777" w:rsidR="00BB6A18" w:rsidRPr="00BA389A" w:rsidRDefault="00BB6A18">
            <w:pPr>
              <w:rPr>
                <w:rFonts w:ascii="Arial" w:hAnsi="Arial" w:cs="Arial"/>
                <w:color w:val="000000"/>
                <w:sz w:val="20"/>
              </w:rPr>
            </w:pPr>
          </w:p>
        </w:tc>
        <w:tc>
          <w:tcPr>
            <w:tcW w:w="1132" w:type="dxa"/>
          </w:tcPr>
          <w:p w14:paraId="71D754FD" w14:textId="77777777" w:rsidR="00BB6A18" w:rsidRPr="00BA389A" w:rsidRDefault="00BB6A18">
            <w:pPr>
              <w:rPr>
                <w:rFonts w:ascii="Arial" w:hAnsi="Arial" w:cs="Arial"/>
                <w:sz w:val="20"/>
                <w:lang w:val="mi-NZ"/>
              </w:rPr>
            </w:pPr>
          </w:p>
          <w:p w14:paraId="6CE46651" w14:textId="77777777" w:rsidR="00BB6A18" w:rsidRPr="00BA389A" w:rsidRDefault="00BB6A18">
            <w:pPr>
              <w:rPr>
                <w:rFonts w:ascii="Arial" w:hAnsi="Arial" w:cs="Arial"/>
                <w:sz w:val="20"/>
                <w:lang w:val="mi-NZ"/>
              </w:rPr>
            </w:pPr>
            <w:r w:rsidRPr="00BA389A">
              <w:rPr>
                <w:rFonts w:ascii="Arial" w:hAnsi="Arial" w:cs="Arial"/>
                <w:sz w:val="20"/>
                <w:lang w:val="mi-NZ"/>
              </w:rPr>
              <w:t>27.2%</w:t>
            </w:r>
          </w:p>
          <w:p w14:paraId="11362DBC" w14:textId="77777777" w:rsidR="00BB6A18" w:rsidRPr="00BA389A" w:rsidRDefault="00BB6A18">
            <w:pPr>
              <w:rPr>
                <w:rFonts w:ascii="Arial" w:hAnsi="Arial" w:cs="Arial"/>
                <w:sz w:val="20"/>
                <w:lang w:val="mi-NZ"/>
              </w:rPr>
            </w:pPr>
          </w:p>
          <w:p w14:paraId="668545F5" w14:textId="77777777" w:rsidR="00BB6A18" w:rsidRPr="00BA389A" w:rsidRDefault="00BB6A18">
            <w:pPr>
              <w:rPr>
                <w:rFonts w:ascii="Arial" w:hAnsi="Arial" w:cs="Arial"/>
                <w:sz w:val="20"/>
                <w:lang w:val="mi-NZ"/>
              </w:rPr>
            </w:pPr>
            <w:r w:rsidRPr="00BA389A">
              <w:rPr>
                <w:rFonts w:ascii="Arial" w:hAnsi="Arial" w:cs="Arial"/>
                <w:sz w:val="20"/>
                <w:lang w:val="mi-NZ"/>
              </w:rPr>
              <w:t>83,300</w:t>
            </w:r>
          </w:p>
        </w:tc>
        <w:tc>
          <w:tcPr>
            <w:tcW w:w="1133" w:type="dxa"/>
          </w:tcPr>
          <w:p w14:paraId="21D9BED8" w14:textId="77777777" w:rsidR="00BB6A18" w:rsidRPr="00BA389A" w:rsidRDefault="00BB6A18">
            <w:pPr>
              <w:rPr>
                <w:rFonts w:ascii="Arial" w:hAnsi="Arial" w:cs="Arial"/>
                <w:sz w:val="20"/>
                <w:lang w:val="mi-NZ"/>
              </w:rPr>
            </w:pPr>
          </w:p>
          <w:p w14:paraId="397B1B18" w14:textId="77777777" w:rsidR="00BB6A18" w:rsidRPr="00BA389A" w:rsidRDefault="00BB6A18">
            <w:pPr>
              <w:rPr>
                <w:rFonts w:ascii="Arial" w:hAnsi="Arial" w:cs="Arial"/>
                <w:sz w:val="20"/>
                <w:lang w:val="mi-NZ"/>
              </w:rPr>
            </w:pPr>
            <w:r w:rsidRPr="00BA389A">
              <w:rPr>
                <w:rFonts w:ascii="Arial" w:hAnsi="Arial" w:cs="Arial"/>
                <w:sz w:val="20"/>
                <w:lang w:val="mi-NZ"/>
              </w:rPr>
              <w:t>21.7%</w:t>
            </w:r>
          </w:p>
          <w:p w14:paraId="42CB2B28" w14:textId="77777777" w:rsidR="00BB6A18" w:rsidRPr="00BA389A" w:rsidRDefault="00BB6A18">
            <w:pPr>
              <w:rPr>
                <w:rFonts w:ascii="Arial" w:hAnsi="Arial" w:cs="Arial"/>
                <w:sz w:val="20"/>
                <w:lang w:val="mi-NZ"/>
              </w:rPr>
            </w:pPr>
          </w:p>
          <w:p w14:paraId="0743634B" w14:textId="77777777" w:rsidR="00BB6A18" w:rsidRPr="00BA389A" w:rsidRDefault="00BB6A18">
            <w:pPr>
              <w:rPr>
                <w:rFonts w:ascii="Arial" w:hAnsi="Arial" w:cs="Arial"/>
                <w:sz w:val="20"/>
                <w:lang w:val="mi-NZ"/>
              </w:rPr>
            </w:pPr>
            <w:r w:rsidRPr="00BA389A">
              <w:rPr>
                <w:rFonts w:ascii="Arial" w:hAnsi="Arial" w:cs="Arial"/>
                <w:sz w:val="20"/>
                <w:lang w:val="mi-NZ"/>
              </w:rPr>
              <w:t>256,400</w:t>
            </w:r>
          </w:p>
        </w:tc>
        <w:tc>
          <w:tcPr>
            <w:tcW w:w="1061" w:type="dxa"/>
          </w:tcPr>
          <w:p w14:paraId="3F44EBD8" w14:textId="77777777" w:rsidR="00BB6A18" w:rsidRPr="00BA389A" w:rsidRDefault="00BB6A18">
            <w:pPr>
              <w:rPr>
                <w:rFonts w:ascii="Arial" w:hAnsi="Arial" w:cs="Arial"/>
                <w:sz w:val="20"/>
                <w:lang w:val="mi-NZ"/>
              </w:rPr>
            </w:pPr>
          </w:p>
          <w:p w14:paraId="52188EC4" w14:textId="77777777" w:rsidR="00BB6A18" w:rsidRPr="00BA389A" w:rsidRDefault="00BB6A18">
            <w:pPr>
              <w:rPr>
                <w:rFonts w:ascii="Arial" w:hAnsi="Arial" w:cs="Arial"/>
                <w:sz w:val="20"/>
                <w:lang w:val="mi-NZ"/>
              </w:rPr>
            </w:pPr>
            <w:r w:rsidRPr="00BA389A">
              <w:rPr>
                <w:rFonts w:ascii="Arial" w:hAnsi="Arial" w:cs="Arial"/>
                <w:sz w:val="20"/>
                <w:lang w:val="mi-NZ"/>
              </w:rPr>
              <w:t>5.5 percentile points</w:t>
            </w:r>
          </w:p>
        </w:tc>
      </w:tr>
      <w:tr w:rsidR="00BB6A18" w:rsidRPr="003C10EE" w14:paraId="197395E2" w14:textId="77777777">
        <w:tc>
          <w:tcPr>
            <w:tcW w:w="6314" w:type="dxa"/>
          </w:tcPr>
          <w:p w14:paraId="466E855E" w14:textId="77777777" w:rsidR="00BB6A18" w:rsidRPr="00BA389A" w:rsidRDefault="00BB6A18">
            <w:pPr>
              <w:rPr>
                <w:rFonts w:ascii="Arial" w:hAnsi="Arial" w:cs="Arial"/>
                <w:color w:val="000000"/>
                <w:sz w:val="20"/>
              </w:rPr>
            </w:pPr>
            <w:r w:rsidRPr="00BA389A">
              <w:rPr>
                <w:rFonts w:ascii="Arial" w:hAnsi="Arial" w:cs="Arial"/>
                <w:color w:val="000000"/>
                <w:sz w:val="20"/>
              </w:rPr>
              <w:t>Table 5.03</w:t>
            </w:r>
          </w:p>
          <w:p w14:paraId="18FF3108" w14:textId="77777777" w:rsidR="00BB6A18" w:rsidRPr="00BA389A" w:rsidRDefault="00BB6A18">
            <w:pPr>
              <w:rPr>
                <w:rFonts w:ascii="Arial" w:hAnsi="Arial" w:cs="Arial"/>
                <w:color w:val="000000"/>
                <w:sz w:val="20"/>
              </w:rPr>
            </w:pPr>
            <w:r w:rsidRPr="00BA389A">
              <w:rPr>
                <w:rFonts w:ascii="Arial" w:hAnsi="Arial" w:cs="Arial"/>
                <w:color w:val="000000"/>
                <w:sz w:val="20"/>
              </w:rPr>
              <w:t>Percentage of children living in households in New Zealand in each financial year who fell in: Low income: less than 60% median equivalised disposable household income after housing costs (AHC) for the financial year</w:t>
            </w:r>
          </w:p>
          <w:p w14:paraId="1108B722" w14:textId="77777777" w:rsidR="00BB6A18" w:rsidRPr="00BA389A" w:rsidRDefault="00BB6A18">
            <w:pPr>
              <w:rPr>
                <w:rFonts w:ascii="Arial" w:hAnsi="Arial" w:cs="Arial"/>
                <w:color w:val="000000"/>
                <w:sz w:val="20"/>
              </w:rPr>
            </w:pPr>
          </w:p>
        </w:tc>
        <w:tc>
          <w:tcPr>
            <w:tcW w:w="1132" w:type="dxa"/>
          </w:tcPr>
          <w:p w14:paraId="166641CF" w14:textId="77777777" w:rsidR="00BB6A18" w:rsidRPr="00BA389A" w:rsidRDefault="00BB6A18">
            <w:pPr>
              <w:rPr>
                <w:rFonts w:ascii="Arial" w:hAnsi="Arial" w:cs="Arial"/>
                <w:sz w:val="20"/>
                <w:lang w:val="mi-NZ"/>
              </w:rPr>
            </w:pPr>
          </w:p>
          <w:p w14:paraId="6BF76D5A" w14:textId="77777777" w:rsidR="00BB6A18" w:rsidRPr="00BA389A" w:rsidRDefault="00BB6A18">
            <w:pPr>
              <w:rPr>
                <w:rFonts w:ascii="Arial" w:hAnsi="Arial" w:cs="Arial"/>
                <w:sz w:val="20"/>
                <w:lang w:val="mi-NZ"/>
              </w:rPr>
            </w:pPr>
            <w:r w:rsidRPr="00BA389A">
              <w:rPr>
                <w:rFonts w:ascii="Arial" w:hAnsi="Arial" w:cs="Arial"/>
                <w:sz w:val="20"/>
                <w:lang w:val="mi-NZ"/>
              </w:rPr>
              <w:t>34.8%</w:t>
            </w:r>
          </w:p>
          <w:p w14:paraId="0E2AF6A8" w14:textId="77777777" w:rsidR="00BB6A18" w:rsidRPr="00BA389A" w:rsidRDefault="00BB6A18">
            <w:pPr>
              <w:rPr>
                <w:rFonts w:ascii="Arial" w:hAnsi="Arial" w:cs="Arial"/>
                <w:sz w:val="20"/>
                <w:lang w:val="mi-NZ"/>
              </w:rPr>
            </w:pPr>
          </w:p>
          <w:p w14:paraId="2145404F" w14:textId="77777777" w:rsidR="00BB6A18" w:rsidRPr="00BA389A" w:rsidRDefault="00BB6A18">
            <w:pPr>
              <w:rPr>
                <w:rFonts w:ascii="Arial" w:hAnsi="Arial" w:cs="Arial"/>
                <w:sz w:val="20"/>
                <w:lang w:val="mi-NZ"/>
              </w:rPr>
            </w:pPr>
            <w:r w:rsidRPr="00BA389A">
              <w:rPr>
                <w:rFonts w:ascii="Arial" w:hAnsi="Arial" w:cs="Arial"/>
                <w:sz w:val="20"/>
                <w:lang w:val="mi-NZ"/>
              </w:rPr>
              <w:t>106,500</w:t>
            </w:r>
          </w:p>
        </w:tc>
        <w:tc>
          <w:tcPr>
            <w:tcW w:w="1133" w:type="dxa"/>
          </w:tcPr>
          <w:p w14:paraId="78C0CFCB" w14:textId="77777777" w:rsidR="00BB6A18" w:rsidRPr="00BA389A" w:rsidRDefault="00BB6A18">
            <w:pPr>
              <w:rPr>
                <w:rFonts w:ascii="Arial" w:hAnsi="Arial" w:cs="Arial"/>
                <w:sz w:val="20"/>
                <w:lang w:val="mi-NZ"/>
              </w:rPr>
            </w:pPr>
          </w:p>
          <w:p w14:paraId="17F08853" w14:textId="77777777" w:rsidR="00BB6A18" w:rsidRPr="00BA389A" w:rsidRDefault="00BB6A18">
            <w:pPr>
              <w:rPr>
                <w:rFonts w:ascii="Arial" w:hAnsi="Arial" w:cs="Arial"/>
                <w:sz w:val="20"/>
                <w:lang w:val="mi-NZ"/>
              </w:rPr>
            </w:pPr>
            <w:r w:rsidRPr="00BA389A">
              <w:rPr>
                <w:rFonts w:ascii="Arial" w:hAnsi="Arial" w:cs="Arial"/>
                <w:sz w:val="20"/>
                <w:lang w:val="mi-NZ"/>
              </w:rPr>
              <w:t>30.0%</w:t>
            </w:r>
          </w:p>
          <w:p w14:paraId="01AA8916" w14:textId="77777777" w:rsidR="00BB6A18" w:rsidRPr="00BA389A" w:rsidRDefault="00BB6A18">
            <w:pPr>
              <w:rPr>
                <w:rFonts w:ascii="Arial" w:hAnsi="Arial" w:cs="Arial"/>
                <w:sz w:val="20"/>
                <w:lang w:val="mi-NZ"/>
              </w:rPr>
            </w:pPr>
          </w:p>
          <w:p w14:paraId="0659B590" w14:textId="77777777" w:rsidR="00BB6A18" w:rsidRPr="00BA389A" w:rsidRDefault="00BB6A18">
            <w:pPr>
              <w:rPr>
                <w:rFonts w:ascii="Arial" w:hAnsi="Arial" w:cs="Arial"/>
                <w:sz w:val="20"/>
                <w:lang w:val="mi-NZ"/>
              </w:rPr>
            </w:pPr>
            <w:r w:rsidRPr="00BA389A">
              <w:rPr>
                <w:rFonts w:ascii="Arial" w:hAnsi="Arial" w:cs="Arial"/>
                <w:sz w:val="20"/>
                <w:lang w:val="mi-NZ"/>
              </w:rPr>
              <w:t>354,200</w:t>
            </w:r>
          </w:p>
        </w:tc>
        <w:tc>
          <w:tcPr>
            <w:tcW w:w="1061" w:type="dxa"/>
          </w:tcPr>
          <w:p w14:paraId="3A96FB01" w14:textId="77777777" w:rsidR="00BB6A18" w:rsidRPr="00BA389A" w:rsidRDefault="00BB6A18">
            <w:pPr>
              <w:rPr>
                <w:rFonts w:ascii="Arial" w:hAnsi="Arial" w:cs="Arial"/>
                <w:sz w:val="20"/>
                <w:lang w:val="mi-NZ"/>
              </w:rPr>
            </w:pPr>
          </w:p>
          <w:p w14:paraId="4D282DD8" w14:textId="77777777" w:rsidR="00BB6A18" w:rsidRPr="00BA389A" w:rsidRDefault="00BB6A18">
            <w:pPr>
              <w:rPr>
                <w:rFonts w:ascii="Arial" w:hAnsi="Arial" w:cs="Arial"/>
                <w:sz w:val="20"/>
                <w:lang w:val="mi-NZ"/>
              </w:rPr>
            </w:pPr>
            <w:r w:rsidRPr="00BA389A">
              <w:rPr>
                <w:rFonts w:ascii="Arial" w:hAnsi="Arial" w:cs="Arial"/>
                <w:sz w:val="20"/>
                <w:lang w:val="mi-NZ"/>
              </w:rPr>
              <w:t>4.8 percentile points</w:t>
            </w:r>
          </w:p>
        </w:tc>
      </w:tr>
      <w:tr w:rsidR="00BB6A18" w:rsidRPr="003C10EE" w14:paraId="727F38F1" w14:textId="77777777">
        <w:tc>
          <w:tcPr>
            <w:tcW w:w="6314" w:type="dxa"/>
          </w:tcPr>
          <w:p w14:paraId="0249AD7C" w14:textId="77777777" w:rsidR="00BB6A18" w:rsidRPr="00BA389A" w:rsidRDefault="00BB6A18">
            <w:pPr>
              <w:rPr>
                <w:rFonts w:ascii="Arial" w:hAnsi="Arial" w:cs="Arial"/>
                <w:color w:val="000000"/>
                <w:sz w:val="20"/>
              </w:rPr>
            </w:pPr>
            <w:r w:rsidRPr="00BA389A">
              <w:rPr>
                <w:rFonts w:ascii="Arial" w:hAnsi="Arial" w:cs="Arial"/>
                <w:color w:val="000000"/>
                <w:sz w:val="20"/>
              </w:rPr>
              <w:t>Table 6.03</w:t>
            </w:r>
          </w:p>
          <w:p w14:paraId="5F91323B" w14:textId="77777777" w:rsidR="00BB6A18" w:rsidRPr="00BA389A" w:rsidRDefault="00BB6A18">
            <w:pPr>
              <w:rPr>
                <w:rFonts w:ascii="Arial" w:hAnsi="Arial" w:cs="Arial"/>
                <w:color w:val="000000"/>
                <w:sz w:val="20"/>
              </w:rPr>
            </w:pPr>
            <w:r w:rsidRPr="00BA389A">
              <w:rPr>
                <w:rFonts w:ascii="Arial" w:hAnsi="Arial" w:cs="Arial"/>
                <w:color w:val="000000"/>
                <w:sz w:val="20"/>
              </w:rPr>
              <w:t>Percentage of children living in households in New Zealand in each financial year who fell in: Low income: less than 50% median equivalised disposable household income after housing costs (AHC) for the financial year</w:t>
            </w:r>
          </w:p>
          <w:p w14:paraId="6040E683" w14:textId="77777777" w:rsidR="00BB6A18" w:rsidRPr="00BA389A" w:rsidRDefault="00BB6A18">
            <w:pPr>
              <w:rPr>
                <w:rFonts w:ascii="Arial" w:hAnsi="Arial" w:cs="Arial"/>
                <w:color w:val="000000"/>
                <w:sz w:val="20"/>
              </w:rPr>
            </w:pPr>
          </w:p>
        </w:tc>
        <w:tc>
          <w:tcPr>
            <w:tcW w:w="1132" w:type="dxa"/>
          </w:tcPr>
          <w:p w14:paraId="34D821B5" w14:textId="77777777" w:rsidR="00BB6A18" w:rsidRPr="00BA389A" w:rsidRDefault="00BB6A18">
            <w:pPr>
              <w:rPr>
                <w:rFonts w:ascii="Arial" w:hAnsi="Arial" w:cs="Arial"/>
                <w:sz w:val="20"/>
                <w:lang w:val="mi-NZ"/>
              </w:rPr>
            </w:pPr>
          </w:p>
          <w:p w14:paraId="6291E8BB" w14:textId="77777777" w:rsidR="00BB6A18" w:rsidRPr="00BA389A" w:rsidRDefault="00BB6A18">
            <w:pPr>
              <w:rPr>
                <w:rFonts w:ascii="Arial" w:hAnsi="Arial" w:cs="Arial"/>
                <w:sz w:val="20"/>
                <w:lang w:val="mi-NZ"/>
              </w:rPr>
            </w:pPr>
            <w:r w:rsidRPr="00BA389A">
              <w:rPr>
                <w:rFonts w:ascii="Arial" w:hAnsi="Arial" w:cs="Arial"/>
                <w:sz w:val="20"/>
                <w:lang w:val="mi-NZ"/>
              </w:rPr>
              <w:t>24.0%</w:t>
            </w:r>
          </w:p>
          <w:p w14:paraId="129A2ED2" w14:textId="77777777" w:rsidR="00BB6A18" w:rsidRPr="00BA389A" w:rsidRDefault="00BB6A18">
            <w:pPr>
              <w:rPr>
                <w:rFonts w:ascii="Arial" w:hAnsi="Arial" w:cs="Arial"/>
                <w:sz w:val="20"/>
                <w:lang w:val="mi-NZ"/>
              </w:rPr>
            </w:pPr>
          </w:p>
          <w:p w14:paraId="4002DC72" w14:textId="77777777" w:rsidR="00BB6A18" w:rsidRPr="00BA389A" w:rsidRDefault="00BB6A18">
            <w:pPr>
              <w:rPr>
                <w:rFonts w:ascii="Arial" w:hAnsi="Arial" w:cs="Arial"/>
                <w:sz w:val="20"/>
                <w:lang w:val="mi-NZ"/>
              </w:rPr>
            </w:pPr>
            <w:r w:rsidRPr="00BA389A">
              <w:rPr>
                <w:rFonts w:ascii="Arial" w:hAnsi="Arial" w:cs="Arial"/>
                <w:sz w:val="20"/>
                <w:lang w:val="mi-NZ"/>
              </w:rPr>
              <w:t>73,500</w:t>
            </w:r>
          </w:p>
        </w:tc>
        <w:tc>
          <w:tcPr>
            <w:tcW w:w="1133" w:type="dxa"/>
          </w:tcPr>
          <w:p w14:paraId="48CFD70F" w14:textId="77777777" w:rsidR="00BB6A18" w:rsidRPr="00BA389A" w:rsidRDefault="00BB6A18">
            <w:pPr>
              <w:rPr>
                <w:rFonts w:ascii="Arial" w:hAnsi="Arial" w:cs="Arial"/>
                <w:sz w:val="20"/>
                <w:lang w:val="mi-NZ"/>
              </w:rPr>
            </w:pPr>
          </w:p>
          <w:p w14:paraId="687A2586" w14:textId="77777777" w:rsidR="00BB6A18" w:rsidRPr="00BA389A" w:rsidRDefault="00BB6A18">
            <w:pPr>
              <w:rPr>
                <w:rFonts w:ascii="Arial" w:hAnsi="Arial" w:cs="Arial"/>
                <w:sz w:val="20"/>
                <w:lang w:val="mi-NZ"/>
              </w:rPr>
            </w:pPr>
            <w:r w:rsidRPr="00BA389A">
              <w:rPr>
                <w:rFonts w:ascii="Arial" w:hAnsi="Arial" w:cs="Arial"/>
                <w:sz w:val="20"/>
                <w:lang w:val="mi-NZ"/>
              </w:rPr>
              <w:t>21.5%</w:t>
            </w:r>
          </w:p>
          <w:p w14:paraId="30FE8608" w14:textId="77777777" w:rsidR="00BB6A18" w:rsidRPr="00BA389A" w:rsidRDefault="00BB6A18">
            <w:pPr>
              <w:rPr>
                <w:rFonts w:ascii="Arial" w:hAnsi="Arial" w:cs="Arial"/>
                <w:sz w:val="20"/>
                <w:lang w:val="mi-NZ"/>
              </w:rPr>
            </w:pPr>
          </w:p>
          <w:p w14:paraId="2F68C084" w14:textId="77777777" w:rsidR="00BB6A18" w:rsidRPr="00BA389A" w:rsidRDefault="00BB6A18">
            <w:pPr>
              <w:rPr>
                <w:rFonts w:ascii="Arial" w:hAnsi="Arial" w:cs="Arial"/>
                <w:sz w:val="20"/>
                <w:lang w:val="mi-NZ"/>
              </w:rPr>
            </w:pPr>
            <w:r w:rsidRPr="00BA389A">
              <w:rPr>
                <w:rFonts w:ascii="Arial" w:hAnsi="Arial" w:cs="Arial"/>
                <w:sz w:val="20"/>
                <w:lang w:val="mi-NZ"/>
              </w:rPr>
              <w:t>254,500</w:t>
            </w:r>
          </w:p>
        </w:tc>
        <w:tc>
          <w:tcPr>
            <w:tcW w:w="1061" w:type="dxa"/>
          </w:tcPr>
          <w:p w14:paraId="60AE5919" w14:textId="77777777" w:rsidR="00BB6A18" w:rsidRPr="00BA389A" w:rsidRDefault="00BB6A18">
            <w:pPr>
              <w:rPr>
                <w:rFonts w:ascii="Arial" w:hAnsi="Arial" w:cs="Arial"/>
                <w:sz w:val="20"/>
                <w:lang w:val="mi-NZ"/>
              </w:rPr>
            </w:pPr>
          </w:p>
          <w:p w14:paraId="1B9D096C" w14:textId="77777777" w:rsidR="00BB6A18" w:rsidRPr="00BA389A" w:rsidRDefault="00BB6A18">
            <w:pPr>
              <w:rPr>
                <w:rFonts w:ascii="Arial" w:hAnsi="Arial" w:cs="Arial"/>
                <w:sz w:val="20"/>
                <w:lang w:val="mi-NZ"/>
              </w:rPr>
            </w:pPr>
            <w:r w:rsidRPr="00BA389A">
              <w:rPr>
                <w:rFonts w:ascii="Arial" w:hAnsi="Arial" w:cs="Arial"/>
                <w:sz w:val="20"/>
                <w:lang w:val="mi-NZ"/>
              </w:rPr>
              <w:t>2.5 percentile points</w:t>
            </w:r>
          </w:p>
        </w:tc>
      </w:tr>
      <w:tr w:rsidR="00BB6A18" w:rsidRPr="003C10EE" w14:paraId="0F63ADAF" w14:textId="77777777">
        <w:tc>
          <w:tcPr>
            <w:tcW w:w="6314" w:type="dxa"/>
          </w:tcPr>
          <w:p w14:paraId="15B8650C" w14:textId="77777777" w:rsidR="00BB6A18" w:rsidRPr="00BA389A" w:rsidRDefault="00BB6A18">
            <w:pPr>
              <w:rPr>
                <w:rFonts w:ascii="Arial" w:hAnsi="Arial" w:cs="Arial"/>
                <w:color w:val="000000"/>
                <w:sz w:val="20"/>
              </w:rPr>
            </w:pPr>
            <w:r w:rsidRPr="00BA389A">
              <w:rPr>
                <w:rFonts w:ascii="Arial" w:hAnsi="Arial" w:cs="Arial"/>
                <w:color w:val="000000"/>
                <w:sz w:val="20"/>
              </w:rPr>
              <w:t>Table 7.03</w:t>
            </w:r>
          </w:p>
          <w:p w14:paraId="5E093BA0" w14:textId="77777777" w:rsidR="00BB6A18" w:rsidRPr="00BA389A" w:rsidRDefault="00BB6A18">
            <w:pPr>
              <w:rPr>
                <w:rFonts w:ascii="Arial" w:hAnsi="Arial" w:cs="Arial"/>
                <w:color w:val="000000"/>
                <w:sz w:val="20"/>
              </w:rPr>
            </w:pPr>
            <w:r w:rsidRPr="00BA389A">
              <w:rPr>
                <w:rFonts w:ascii="Arial" w:hAnsi="Arial" w:cs="Arial"/>
                <w:color w:val="000000"/>
                <w:sz w:val="20"/>
              </w:rPr>
              <w:t>Percentage of children living in households in New Zealand in each financial year who fell in: Low income: less than 40% median equivalised disposable household income after housing costs (AHC) for the financial year</w:t>
            </w:r>
          </w:p>
          <w:p w14:paraId="234140CB" w14:textId="77777777" w:rsidR="00BB6A18" w:rsidRPr="00BA389A" w:rsidRDefault="00BB6A18">
            <w:pPr>
              <w:rPr>
                <w:rFonts w:ascii="Arial" w:hAnsi="Arial" w:cs="Arial"/>
                <w:color w:val="000000"/>
                <w:sz w:val="20"/>
              </w:rPr>
            </w:pPr>
          </w:p>
        </w:tc>
        <w:tc>
          <w:tcPr>
            <w:tcW w:w="1132" w:type="dxa"/>
          </w:tcPr>
          <w:p w14:paraId="195F7328" w14:textId="77777777" w:rsidR="00BB6A18" w:rsidRPr="00BA389A" w:rsidRDefault="00BB6A18">
            <w:pPr>
              <w:rPr>
                <w:rFonts w:ascii="Arial" w:hAnsi="Arial" w:cs="Arial"/>
                <w:sz w:val="20"/>
                <w:lang w:val="mi-NZ"/>
              </w:rPr>
            </w:pPr>
          </w:p>
          <w:p w14:paraId="7DD17CFA" w14:textId="77777777" w:rsidR="00BB6A18" w:rsidRPr="00BA389A" w:rsidRDefault="00BB6A18">
            <w:pPr>
              <w:rPr>
                <w:rFonts w:ascii="Arial" w:hAnsi="Arial" w:cs="Arial"/>
                <w:sz w:val="20"/>
                <w:lang w:val="mi-NZ"/>
              </w:rPr>
            </w:pPr>
            <w:r w:rsidRPr="00BA389A">
              <w:rPr>
                <w:rFonts w:ascii="Arial" w:hAnsi="Arial" w:cs="Arial"/>
                <w:sz w:val="20"/>
                <w:lang w:val="mi-NZ"/>
              </w:rPr>
              <w:t>13.4%</w:t>
            </w:r>
          </w:p>
          <w:p w14:paraId="68B46C8B" w14:textId="77777777" w:rsidR="00BB6A18" w:rsidRPr="00BA389A" w:rsidRDefault="00BB6A18">
            <w:pPr>
              <w:rPr>
                <w:rFonts w:ascii="Arial" w:hAnsi="Arial" w:cs="Arial"/>
                <w:sz w:val="20"/>
                <w:lang w:val="mi-NZ"/>
              </w:rPr>
            </w:pPr>
          </w:p>
          <w:p w14:paraId="6CB4F5B9" w14:textId="77777777" w:rsidR="00BB6A18" w:rsidRPr="00BA389A" w:rsidRDefault="00BB6A18">
            <w:pPr>
              <w:rPr>
                <w:rFonts w:ascii="Arial" w:hAnsi="Arial" w:cs="Arial"/>
                <w:sz w:val="20"/>
                <w:lang w:val="mi-NZ"/>
              </w:rPr>
            </w:pPr>
            <w:r w:rsidRPr="00BA389A">
              <w:rPr>
                <w:rFonts w:ascii="Arial" w:hAnsi="Arial" w:cs="Arial"/>
                <w:sz w:val="20"/>
                <w:lang w:val="mi-NZ"/>
              </w:rPr>
              <w:t>40,900</w:t>
            </w:r>
          </w:p>
        </w:tc>
        <w:tc>
          <w:tcPr>
            <w:tcW w:w="1133" w:type="dxa"/>
          </w:tcPr>
          <w:p w14:paraId="7543A341" w14:textId="77777777" w:rsidR="00BB6A18" w:rsidRPr="00BA389A" w:rsidRDefault="00BB6A18">
            <w:pPr>
              <w:rPr>
                <w:rFonts w:ascii="Arial" w:hAnsi="Arial" w:cs="Arial"/>
                <w:sz w:val="20"/>
                <w:lang w:val="mi-NZ"/>
              </w:rPr>
            </w:pPr>
          </w:p>
          <w:p w14:paraId="3EDAE7EE" w14:textId="77777777" w:rsidR="00BB6A18" w:rsidRPr="00BA389A" w:rsidRDefault="00BB6A18">
            <w:pPr>
              <w:rPr>
                <w:rFonts w:ascii="Arial" w:hAnsi="Arial" w:cs="Arial"/>
                <w:sz w:val="20"/>
                <w:lang w:val="mi-NZ"/>
              </w:rPr>
            </w:pPr>
            <w:r w:rsidRPr="00BA389A">
              <w:rPr>
                <w:rFonts w:ascii="Arial" w:hAnsi="Arial" w:cs="Arial"/>
                <w:sz w:val="20"/>
                <w:lang w:val="mi-NZ"/>
              </w:rPr>
              <w:t>13.4%</w:t>
            </w:r>
          </w:p>
          <w:p w14:paraId="6F005DEA" w14:textId="77777777" w:rsidR="00BB6A18" w:rsidRPr="00BA389A" w:rsidRDefault="00BB6A18">
            <w:pPr>
              <w:rPr>
                <w:rFonts w:ascii="Arial" w:hAnsi="Arial" w:cs="Arial"/>
                <w:sz w:val="20"/>
                <w:lang w:val="mi-NZ"/>
              </w:rPr>
            </w:pPr>
          </w:p>
          <w:p w14:paraId="7C1FCCA5" w14:textId="77777777" w:rsidR="00BB6A18" w:rsidRPr="00BA389A" w:rsidRDefault="00BB6A18">
            <w:pPr>
              <w:rPr>
                <w:rFonts w:ascii="Arial" w:hAnsi="Arial" w:cs="Arial"/>
                <w:sz w:val="20"/>
                <w:lang w:val="mi-NZ"/>
              </w:rPr>
            </w:pPr>
            <w:r w:rsidRPr="00BA389A">
              <w:rPr>
                <w:rFonts w:ascii="Arial" w:hAnsi="Arial" w:cs="Arial"/>
                <w:sz w:val="20"/>
                <w:lang w:val="mi-NZ"/>
              </w:rPr>
              <w:t>158,200</w:t>
            </w:r>
          </w:p>
        </w:tc>
        <w:tc>
          <w:tcPr>
            <w:tcW w:w="1061" w:type="dxa"/>
          </w:tcPr>
          <w:p w14:paraId="6AFAD2D8" w14:textId="77777777" w:rsidR="00BB6A18" w:rsidRPr="00BA389A" w:rsidRDefault="00BB6A18">
            <w:pPr>
              <w:rPr>
                <w:rFonts w:ascii="Arial" w:hAnsi="Arial" w:cs="Arial"/>
                <w:sz w:val="20"/>
                <w:lang w:val="mi-NZ"/>
              </w:rPr>
            </w:pPr>
          </w:p>
          <w:p w14:paraId="3377A0E1" w14:textId="77777777" w:rsidR="00BB6A18" w:rsidRPr="00BA389A" w:rsidRDefault="00BB6A18">
            <w:pPr>
              <w:rPr>
                <w:rFonts w:ascii="Arial" w:hAnsi="Arial" w:cs="Arial"/>
                <w:sz w:val="20"/>
                <w:lang w:val="mi-NZ"/>
              </w:rPr>
            </w:pPr>
            <w:r w:rsidRPr="00BA389A">
              <w:rPr>
                <w:rFonts w:ascii="Arial" w:hAnsi="Arial" w:cs="Arial"/>
                <w:sz w:val="20"/>
                <w:lang w:val="mi-NZ"/>
              </w:rPr>
              <w:t>0 percentile points</w:t>
            </w:r>
          </w:p>
        </w:tc>
      </w:tr>
      <w:tr w:rsidR="00BB6A18" w:rsidRPr="003C10EE" w14:paraId="24BA17DF" w14:textId="77777777">
        <w:tc>
          <w:tcPr>
            <w:tcW w:w="6314" w:type="dxa"/>
          </w:tcPr>
          <w:p w14:paraId="7E0AD329" w14:textId="77777777" w:rsidR="00BB6A18" w:rsidRPr="00BA389A" w:rsidRDefault="00BB6A18">
            <w:pPr>
              <w:rPr>
                <w:rFonts w:ascii="Arial" w:hAnsi="Arial" w:cs="Arial"/>
                <w:color w:val="000000"/>
                <w:sz w:val="20"/>
              </w:rPr>
            </w:pPr>
            <w:r w:rsidRPr="00BA389A">
              <w:rPr>
                <w:rFonts w:ascii="Arial" w:hAnsi="Arial" w:cs="Arial"/>
                <w:color w:val="000000"/>
                <w:sz w:val="20"/>
              </w:rPr>
              <w:t>Table 8.03</w:t>
            </w:r>
          </w:p>
          <w:p w14:paraId="0053BBC4" w14:textId="77777777" w:rsidR="00BB6A18" w:rsidRPr="00BA389A" w:rsidRDefault="00BB6A18">
            <w:pPr>
              <w:rPr>
                <w:rFonts w:ascii="Arial" w:hAnsi="Arial" w:cs="Arial"/>
                <w:color w:val="000000"/>
                <w:sz w:val="20"/>
                <w:vertAlign w:val="superscript"/>
              </w:rPr>
            </w:pPr>
            <w:r w:rsidRPr="00BA389A">
              <w:rPr>
                <w:rFonts w:ascii="Arial" w:hAnsi="Arial" w:cs="Arial"/>
                <w:color w:val="000000"/>
                <w:sz w:val="20"/>
              </w:rPr>
              <w:t xml:space="preserve">Percentage of children living in households in New Zealand in each financial year who fell in: Severe material </w:t>
            </w:r>
            <w:proofErr w:type="gramStart"/>
            <w:r w:rsidRPr="00BA389A">
              <w:rPr>
                <w:rFonts w:ascii="Arial" w:hAnsi="Arial" w:cs="Arial"/>
                <w:color w:val="000000"/>
                <w:sz w:val="20"/>
              </w:rPr>
              <w:t>hardship</w:t>
            </w:r>
            <w:r w:rsidRPr="00BA389A">
              <w:rPr>
                <w:rFonts w:ascii="Arial" w:hAnsi="Arial" w:cs="Arial"/>
                <w:color w:val="000000"/>
                <w:sz w:val="20"/>
                <w:vertAlign w:val="superscript"/>
              </w:rPr>
              <w:t>(</w:t>
            </w:r>
            <w:proofErr w:type="gramEnd"/>
            <w:r w:rsidRPr="00BA389A">
              <w:rPr>
                <w:rFonts w:ascii="Arial" w:hAnsi="Arial" w:cs="Arial"/>
                <w:color w:val="000000"/>
                <w:sz w:val="20"/>
                <w:vertAlign w:val="superscript"/>
              </w:rPr>
              <w:t>1)</w:t>
            </w:r>
          </w:p>
          <w:p w14:paraId="27570906" w14:textId="77777777" w:rsidR="00BB6A18" w:rsidRPr="00BA389A" w:rsidRDefault="00BB6A18">
            <w:pPr>
              <w:rPr>
                <w:rFonts w:ascii="Arial" w:hAnsi="Arial" w:cs="Arial"/>
                <w:color w:val="000000"/>
                <w:sz w:val="20"/>
              </w:rPr>
            </w:pPr>
          </w:p>
        </w:tc>
        <w:tc>
          <w:tcPr>
            <w:tcW w:w="1132" w:type="dxa"/>
          </w:tcPr>
          <w:p w14:paraId="5101F536" w14:textId="77777777" w:rsidR="00BB6A18" w:rsidRPr="00BA389A" w:rsidRDefault="00BB6A18">
            <w:pPr>
              <w:rPr>
                <w:rFonts w:ascii="Arial" w:hAnsi="Arial" w:cs="Arial"/>
                <w:sz w:val="20"/>
                <w:lang w:val="mi-NZ"/>
              </w:rPr>
            </w:pPr>
          </w:p>
          <w:p w14:paraId="5328EC29" w14:textId="77777777" w:rsidR="00BB6A18" w:rsidRPr="00BA389A" w:rsidRDefault="00BB6A18">
            <w:pPr>
              <w:rPr>
                <w:rFonts w:ascii="Arial" w:hAnsi="Arial" w:cs="Arial"/>
                <w:sz w:val="20"/>
                <w:lang w:val="mi-NZ"/>
              </w:rPr>
            </w:pPr>
            <w:r w:rsidRPr="00BA389A">
              <w:rPr>
                <w:rFonts w:ascii="Arial" w:hAnsi="Arial" w:cs="Arial"/>
                <w:sz w:val="20"/>
                <w:lang w:val="mi-NZ"/>
              </w:rPr>
              <w:t>12.2%</w:t>
            </w:r>
          </w:p>
          <w:p w14:paraId="63F8CF0A" w14:textId="77777777" w:rsidR="00BB6A18" w:rsidRPr="00BA389A" w:rsidRDefault="00BB6A18">
            <w:pPr>
              <w:rPr>
                <w:rFonts w:ascii="Arial" w:hAnsi="Arial" w:cs="Arial"/>
                <w:sz w:val="20"/>
                <w:lang w:val="mi-NZ"/>
              </w:rPr>
            </w:pPr>
          </w:p>
          <w:p w14:paraId="5B2B8CEC" w14:textId="77777777" w:rsidR="00BB6A18" w:rsidRPr="00BA389A" w:rsidRDefault="00BB6A18">
            <w:pPr>
              <w:rPr>
                <w:rFonts w:ascii="Arial" w:hAnsi="Arial" w:cs="Arial"/>
                <w:sz w:val="20"/>
                <w:lang w:val="mi-NZ"/>
              </w:rPr>
            </w:pPr>
            <w:r w:rsidRPr="00BA389A">
              <w:rPr>
                <w:rFonts w:ascii="Arial" w:hAnsi="Arial" w:cs="Arial"/>
                <w:sz w:val="20"/>
                <w:lang w:val="mi-NZ"/>
              </w:rPr>
              <w:t>37,300</w:t>
            </w:r>
          </w:p>
        </w:tc>
        <w:tc>
          <w:tcPr>
            <w:tcW w:w="1133" w:type="dxa"/>
          </w:tcPr>
          <w:p w14:paraId="30CA0EDB" w14:textId="77777777" w:rsidR="00BB6A18" w:rsidRPr="00BA389A" w:rsidRDefault="00BB6A18">
            <w:pPr>
              <w:rPr>
                <w:rFonts w:ascii="Arial" w:hAnsi="Arial" w:cs="Arial"/>
                <w:sz w:val="20"/>
                <w:lang w:val="mi-NZ"/>
              </w:rPr>
            </w:pPr>
          </w:p>
          <w:p w14:paraId="52A8A839" w14:textId="77777777" w:rsidR="00BB6A18" w:rsidRPr="00BA389A" w:rsidRDefault="00BB6A18">
            <w:pPr>
              <w:rPr>
                <w:rFonts w:ascii="Arial" w:hAnsi="Arial" w:cs="Arial"/>
                <w:sz w:val="20"/>
                <w:lang w:val="mi-NZ"/>
              </w:rPr>
            </w:pPr>
            <w:r w:rsidRPr="00BA389A">
              <w:rPr>
                <w:rFonts w:ascii="Arial" w:hAnsi="Arial" w:cs="Arial"/>
                <w:sz w:val="20"/>
                <w:lang w:val="mi-NZ"/>
              </w:rPr>
              <w:t>6.0%</w:t>
            </w:r>
          </w:p>
          <w:p w14:paraId="2B4A632E" w14:textId="77777777" w:rsidR="00BB6A18" w:rsidRPr="00BA389A" w:rsidRDefault="00BB6A18">
            <w:pPr>
              <w:rPr>
                <w:rFonts w:ascii="Arial" w:hAnsi="Arial" w:cs="Arial"/>
                <w:sz w:val="20"/>
                <w:lang w:val="mi-NZ"/>
              </w:rPr>
            </w:pPr>
          </w:p>
          <w:p w14:paraId="5FCBB8B2" w14:textId="77777777" w:rsidR="00BB6A18" w:rsidRPr="00BA389A" w:rsidRDefault="00BB6A18">
            <w:pPr>
              <w:rPr>
                <w:rFonts w:ascii="Arial" w:hAnsi="Arial" w:cs="Arial"/>
                <w:sz w:val="20"/>
                <w:lang w:val="mi-NZ"/>
              </w:rPr>
            </w:pPr>
            <w:r w:rsidRPr="00BA389A">
              <w:rPr>
                <w:rFonts w:ascii="Arial" w:hAnsi="Arial" w:cs="Arial"/>
                <w:sz w:val="20"/>
                <w:lang w:val="mi-NZ"/>
              </w:rPr>
              <w:t>71,000</w:t>
            </w:r>
          </w:p>
        </w:tc>
        <w:tc>
          <w:tcPr>
            <w:tcW w:w="1061" w:type="dxa"/>
          </w:tcPr>
          <w:p w14:paraId="25796E77" w14:textId="77777777" w:rsidR="00BB6A18" w:rsidRPr="00BA389A" w:rsidRDefault="00BB6A18">
            <w:pPr>
              <w:rPr>
                <w:rFonts w:ascii="Arial" w:hAnsi="Arial" w:cs="Arial"/>
                <w:sz w:val="20"/>
                <w:lang w:val="mi-NZ"/>
              </w:rPr>
            </w:pPr>
          </w:p>
          <w:p w14:paraId="3E8F90FD" w14:textId="77777777" w:rsidR="00BB6A18" w:rsidRPr="00BA389A" w:rsidRDefault="00BB6A18">
            <w:pPr>
              <w:rPr>
                <w:rFonts w:ascii="Arial" w:hAnsi="Arial" w:cs="Arial"/>
                <w:sz w:val="20"/>
                <w:lang w:val="mi-NZ"/>
              </w:rPr>
            </w:pPr>
            <w:r w:rsidRPr="00BA389A">
              <w:rPr>
                <w:rFonts w:ascii="Arial" w:hAnsi="Arial" w:cs="Arial"/>
                <w:sz w:val="20"/>
                <w:lang w:val="mi-NZ"/>
              </w:rPr>
              <w:t>6.2 percentile points</w:t>
            </w:r>
          </w:p>
        </w:tc>
      </w:tr>
      <w:tr w:rsidR="00BB6A18" w:rsidRPr="003C10EE" w14:paraId="18ED0740" w14:textId="77777777">
        <w:tc>
          <w:tcPr>
            <w:tcW w:w="6314" w:type="dxa"/>
          </w:tcPr>
          <w:p w14:paraId="12329750" w14:textId="77777777" w:rsidR="00BB6A18" w:rsidRPr="00BA389A" w:rsidRDefault="00BB6A18">
            <w:pPr>
              <w:rPr>
                <w:rFonts w:ascii="Arial" w:hAnsi="Arial" w:cs="Arial"/>
                <w:color w:val="000000"/>
                <w:sz w:val="20"/>
              </w:rPr>
            </w:pPr>
            <w:r w:rsidRPr="00BA389A">
              <w:rPr>
                <w:rFonts w:ascii="Arial" w:hAnsi="Arial" w:cs="Arial"/>
                <w:color w:val="000000"/>
                <w:sz w:val="20"/>
              </w:rPr>
              <w:t>Table 9.03</w:t>
            </w:r>
          </w:p>
          <w:p w14:paraId="39E38E9C" w14:textId="77777777" w:rsidR="00BB6A18" w:rsidRPr="00BA389A" w:rsidRDefault="00BB6A18">
            <w:pPr>
              <w:rPr>
                <w:rFonts w:ascii="Arial" w:hAnsi="Arial" w:cs="Arial"/>
                <w:color w:val="000000"/>
                <w:sz w:val="20"/>
                <w:vertAlign w:val="superscript"/>
              </w:rPr>
            </w:pPr>
            <w:r w:rsidRPr="00BA389A">
              <w:rPr>
                <w:rFonts w:ascii="Arial" w:hAnsi="Arial" w:cs="Arial"/>
                <w:color w:val="000000"/>
                <w:sz w:val="20"/>
              </w:rPr>
              <w:t xml:space="preserve">Percentage of children living in households in New Zealand in each financial year who fell in: Low income and hardship: less than 60% median equivalised disposable household income after housing costs (AHC) for the financial year and material </w:t>
            </w:r>
            <w:proofErr w:type="gramStart"/>
            <w:r w:rsidRPr="00BA389A">
              <w:rPr>
                <w:rFonts w:ascii="Arial" w:hAnsi="Arial" w:cs="Arial"/>
                <w:color w:val="000000"/>
                <w:sz w:val="20"/>
              </w:rPr>
              <w:t>hardship</w:t>
            </w:r>
            <w:r w:rsidRPr="00BA389A">
              <w:rPr>
                <w:rFonts w:ascii="Arial" w:hAnsi="Arial" w:cs="Arial"/>
                <w:color w:val="000000"/>
                <w:sz w:val="20"/>
                <w:vertAlign w:val="superscript"/>
              </w:rPr>
              <w:t>(</w:t>
            </w:r>
            <w:proofErr w:type="gramEnd"/>
            <w:r w:rsidRPr="00BA389A">
              <w:rPr>
                <w:rFonts w:ascii="Arial" w:hAnsi="Arial" w:cs="Arial"/>
                <w:color w:val="000000"/>
                <w:sz w:val="20"/>
                <w:vertAlign w:val="superscript"/>
              </w:rPr>
              <w:t>1)</w:t>
            </w:r>
          </w:p>
          <w:p w14:paraId="69E2D980" w14:textId="77777777" w:rsidR="00BB6A18" w:rsidRPr="00BA389A" w:rsidRDefault="00BB6A18">
            <w:pPr>
              <w:rPr>
                <w:rFonts w:ascii="Arial" w:hAnsi="Arial" w:cs="Arial"/>
                <w:color w:val="000000"/>
                <w:sz w:val="20"/>
              </w:rPr>
            </w:pPr>
          </w:p>
        </w:tc>
        <w:tc>
          <w:tcPr>
            <w:tcW w:w="1132" w:type="dxa"/>
          </w:tcPr>
          <w:p w14:paraId="3EBEF3BE" w14:textId="77777777" w:rsidR="00BB6A18" w:rsidRPr="00BA389A" w:rsidRDefault="00BB6A18">
            <w:pPr>
              <w:rPr>
                <w:rFonts w:ascii="Arial" w:hAnsi="Arial" w:cs="Arial"/>
                <w:sz w:val="20"/>
                <w:lang w:val="mi-NZ"/>
              </w:rPr>
            </w:pPr>
          </w:p>
          <w:p w14:paraId="3E999D9C" w14:textId="77777777" w:rsidR="00BB6A18" w:rsidRPr="00BA389A" w:rsidRDefault="00BB6A18">
            <w:pPr>
              <w:rPr>
                <w:rFonts w:ascii="Arial" w:hAnsi="Arial" w:cs="Arial"/>
                <w:sz w:val="20"/>
                <w:lang w:val="mi-NZ"/>
              </w:rPr>
            </w:pPr>
            <w:r w:rsidRPr="00BA389A">
              <w:rPr>
                <w:rFonts w:ascii="Arial" w:hAnsi="Arial" w:cs="Arial"/>
                <w:sz w:val="20"/>
                <w:lang w:val="mi-NZ"/>
              </w:rPr>
              <w:t>15.1%</w:t>
            </w:r>
          </w:p>
          <w:p w14:paraId="26403E7E" w14:textId="77777777" w:rsidR="00BB6A18" w:rsidRPr="00BA389A" w:rsidRDefault="00BB6A18">
            <w:pPr>
              <w:rPr>
                <w:rFonts w:ascii="Arial" w:hAnsi="Arial" w:cs="Arial"/>
                <w:sz w:val="20"/>
                <w:lang w:val="mi-NZ"/>
              </w:rPr>
            </w:pPr>
          </w:p>
          <w:p w14:paraId="09AA32EE" w14:textId="77777777" w:rsidR="00BB6A18" w:rsidRPr="00BA389A" w:rsidRDefault="00BB6A18">
            <w:pPr>
              <w:rPr>
                <w:rFonts w:ascii="Arial" w:hAnsi="Arial" w:cs="Arial"/>
                <w:sz w:val="20"/>
                <w:lang w:val="mi-NZ"/>
              </w:rPr>
            </w:pPr>
            <w:r w:rsidRPr="00BA389A">
              <w:rPr>
                <w:rFonts w:ascii="Arial" w:hAnsi="Arial" w:cs="Arial"/>
                <w:sz w:val="20"/>
                <w:lang w:val="mi-NZ"/>
              </w:rPr>
              <w:t>46,200</w:t>
            </w:r>
          </w:p>
        </w:tc>
        <w:tc>
          <w:tcPr>
            <w:tcW w:w="1133" w:type="dxa"/>
          </w:tcPr>
          <w:p w14:paraId="61708F0E" w14:textId="77777777" w:rsidR="00BB6A18" w:rsidRPr="00BA389A" w:rsidRDefault="00BB6A18">
            <w:pPr>
              <w:rPr>
                <w:rFonts w:ascii="Arial" w:hAnsi="Arial" w:cs="Arial"/>
                <w:sz w:val="20"/>
                <w:lang w:val="mi-NZ"/>
              </w:rPr>
            </w:pPr>
          </w:p>
          <w:p w14:paraId="362CE793" w14:textId="77777777" w:rsidR="00BB6A18" w:rsidRPr="00BA389A" w:rsidRDefault="00BB6A18">
            <w:pPr>
              <w:rPr>
                <w:rFonts w:ascii="Arial" w:hAnsi="Arial" w:cs="Arial"/>
                <w:sz w:val="20"/>
                <w:lang w:val="mi-NZ"/>
              </w:rPr>
            </w:pPr>
            <w:r w:rsidRPr="00BA389A">
              <w:rPr>
                <w:rFonts w:ascii="Arial" w:hAnsi="Arial" w:cs="Arial"/>
                <w:sz w:val="20"/>
                <w:lang w:val="mi-NZ"/>
              </w:rPr>
              <w:t>8.6%</w:t>
            </w:r>
          </w:p>
          <w:p w14:paraId="73BCC3EC" w14:textId="77777777" w:rsidR="00BB6A18" w:rsidRPr="00BA389A" w:rsidRDefault="00BB6A18">
            <w:pPr>
              <w:rPr>
                <w:rFonts w:ascii="Arial" w:hAnsi="Arial" w:cs="Arial"/>
                <w:sz w:val="20"/>
                <w:lang w:val="mi-NZ"/>
              </w:rPr>
            </w:pPr>
          </w:p>
          <w:p w14:paraId="2BB5268D" w14:textId="77777777" w:rsidR="00BB6A18" w:rsidRPr="00BA389A" w:rsidRDefault="00BB6A18">
            <w:pPr>
              <w:rPr>
                <w:rFonts w:ascii="Arial" w:hAnsi="Arial" w:cs="Arial"/>
                <w:sz w:val="20"/>
                <w:lang w:val="mi-NZ"/>
              </w:rPr>
            </w:pPr>
            <w:r w:rsidRPr="00BA389A">
              <w:rPr>
                <w:rFonts w:ascii="Arial" w:hAnsi="Arial" w:cs="Arial"/>
                <w:sz w:val="20"/>
                <w:lang w:val="mi-NZ"/>
              </w:rPr>
              <w:t>101,600</w:t>
            </w:r>
          </w:p>
        </w:tc>
        <w:tc>
          <w:tcPr>
            <w:tcW w:w="1061" w:type="dxa"/>
          </w:tcPr>
          <w:p w14:paraId="5F94C5C3" w14:textId="77777777" w:rsidR="00BB6A18" w:rsidRPr="00BA389A" w:rsidRDefault="00BB6A18">
            <w:pPr>
              <w:rPr>
                <w:rFonts w:ascii="Arial" w:hAnsi="Arial" w:cs="Arial"/>
                <w:sz w:val="20"/>
                <w:lang w:val="mi-NZ"/>
              </w:rPr>
            </w:pPr>
          </w:p>
          <w:p w14:paraId="6973C22C" w14:textId="77777777" w:rsidR="00BB6A18" w:rsidRPr="00BA389A" w:rsidRDefault="00BB6A18">
            <w:pPr>
              <w:rPr>
                <w:rFonts w:ascii="Arial" w:hAnsi="Arial" w:cs="Arial"/>
                <w:sz w:val="20"/>
                <w:lang w:val="mi-NZ"/>
              </w:rPr>
            </w:pPr>
            <w:r w:rsidRPr="00BA389A">
              <w:rPr>
                <w:rFonts w:ascii="Arial" w:hAnsi="Arial" w:cs="Arial"/>
                <w:sz w:val="20"/>
                <w:lang w:val="mi-NZ"/>
              </w:rPr>
              <w:t>6.5 percentile points</w:t>
            </w:r>
          </w:p>
        </w:tc>
      </w:tr>
      <w:tr w:rsidR="00BB6A18" w:rsidRPr="00217844" w14:paraId="456218B4" w14:textId="77777777">
        <w:tc>
          <w:tcPr>
            <w:tcW w:w="6314" w:type="dxa"/>
          </w:tcPr>
          <w:p w14:paraId="583BDFFD" w14:textId="77777777" w:rsidR="00BB6A18" w:rsidRPr="00BA389A" w:rsidRDefault="00BB6A18">
            <w:pPr>
              <w:rPr>
                <w:rFonts w:ascii="Arial" w:hAnsi="Arial" w:cs="Arial"/>
                <w:b/>
                <w:bCs/>
                <w:sz w:val="20"/>
                <w:lang w:val="mi-NZ"/>
              </w:rPr>
            </w:pPr>
            <w:r w:rsidRPr="00BA389A">
              <w:rPr>
                <w:rFonts w:ascii="Arial" w:hAnsi="Arial" w:cs="Arial"/>
                <w:b/>
                <w:bCs/>
                <w:sz w:val="20"/>
                <w:lang w:val="mi-NZ"/>
              </w:rPr>
              <w:t>Appendix Two: Statistics NZ</w:t>
            </w:r>
          </w:p>
          <w:p w14:paraId="0C0CE087" w14:textId="77777777" w:rsidR="00BB6A18" w:rsidRPr="00BA389A" w:rsidRDefault="00BB6A18">
            <w:pPr>
              <w:rPr>
                <w:rFonts w:ascii="Arial" w:hAnsi="Arial" w:cs="Arial"/>
                <w:b/>
                <w:bCs/>
                <w:sz w:val="20"/>
                <w:lang w:val="mi-NZ"/>
              </w:rPr>
            </w:pPr>
            <w:r w:rsidRPr="00BA389A">
              <w:rPr>
                <w:rFonts w:ascii="Arial" w:hAnsi="Arial" w:cs="Arial"/>
                <w:b/>
                <w:bCs/>
                <w:sz w:val="20"/>
                <w:lang w:val="mi-NZ"/>
              </w:rPr>
              <w:t xml:space="preserve">Child Poverty Statistics </w:t>
            </w:r>
          </w:p>
          <w:p w14:paraId="650E58EF" w14:textId="77777777" w:rsidR="00BB6A18" w:rsidRPr="00BA389A" w:rsidRDefault="00BB6A18">
            <w:pPr>
              <w:rPr>
                <w:rFonts w:ascii="Arial" w:hAnsi="Arial" w:cs="Arial"/>
                <w:b/>
                <w:bCs/>
                <w:sz w:val="20"/>
                <w:lang w:val="mi-NZ"/>
              </w:rPr>
            </w:pPr>
            <w:r w:rsidRPr="00BA389A">
              <w:rPr>
                <w:rFonts w:ascii="Arial" w:hAnsi="Arial" w:cs="Arial"/>
                <w:b/>
                <w:bCs/>
                <w:sz w:val="20"/>
                <w:lang w:val="mi-NZ"/>
              </w:rPr>
              <w:t>Tamariki Māori Changes from 2024 to 2025</w:t>
            </w:r>
          </w:p>
          <w:p w14:paraId="7276A402" w14:textId="77777777" w:rsidR="00BB6A18" w:rsidRPr="00BA389A" w:rsidRDefault="00BB6A18">
            <w:pPr>
              <w:rPr>
                <w:rFonts w:ascii="Arial" w:hAnsi="Arial" w:cs="Arial"/>
                <w:sz w:val="20"/>
                <w:lang w:val="mi-NZ"/>
              </w:rPr>
            </w:pPr>
          </w:p>
        </w:tc>
        <w:tc>
          <w:tcPr>
            <w:tcW w:w="1132" w:type="dxa"/>
          </w:tcPr>
          <w:p w14:paraId="4C7EE31A" w14:textId="77777777" w:rsidR="00BB6A18" w:rsidRPr="00BA389A" w:rsidRDefault="00BB6A18">
            <w:pPr>
              <w:rPr>
                <w:rFonts w:ascii="Arial" w:hAnsi="Arial" w:cs="Arial"/>
                <w:sz w:val="20"/>
                <w:lang w:val="mi-NZ"/>
              </w:rPr>
            </w:pPr>
            <w:r w:rsidRPr="00BA389A">
              <w:rPr>
                <w:rFonts w:ascii="Arial" w:hAnsi="Arial" w:cs="Arial"/>
                <w:sz w:val="20"/>
                <w:lang w:val="mi-NZ"/>
              </w:rPr>
              <w:t xml:space="preserve">Tamariki Māori 2025 </w:t>
            </w:r>
          </w:p>
        </w:tc>
        <w:tc>
          <w:tcPr>
            <w:tcW w:w="1133" w:type="dxa"/>
          </w:tcPr>
          <w:p w14:paraId="3ADB3862" w14:textId="77777777" w:rsidR="00BB6A18" w:rsidRPr="00BA389A" w:rsidRDefault="00BB6A18">
            <w:pPr>
              <w:rPr>
                <w:rFonts w:ascii="Arial" w:hAnsi="Arial" w:cs="Arial"/>
                <w:sz w:val="20"/>
                <w:lang w:val="mi-NZ"/>
              </w:rPr>
            </w:pPr>
            <w:r w:rsidRPr="00BA389A">
              <w:rPr>
                <w:rFonts w:ascii="Arial" w:hAnsi="Arial" w:cs="Arial"/>
                <w:sz w:val="20"/>
                <w:lang w:val="mi-NZ"/>
              </w:rPr>
              <w:t>Tamariki Māori</w:t>
            </w:r>
          </w:p>
          <w:p w14:paraId="070EDC93" w14:textId="77777777" w:rsidR="00BB6A18" w:rsidRPr="00BA389A" w:rsidRDefault="00BB6A18">
            <w:pPr>
              <w:rPr>
                <w:rFonts w:ascii="Arial" w:hAnsi="Arial" w:cs="Arial"/>
                <w:sz w:val="20"/>
                <w:lang w:val="mi-NZ"/>
              </w:rPr>
            </w:pPr>
            <w:r w:rsidRPr="00BA389A">
              <w:rPr>
                <w:rFonts w:ascii="Arial" w:hAnsi="Arial" w:cs="Arial"/>
                <w:sz w:val="20"/>
                <w:lang w:val="mi-NZ"/>
              </w:rPr>
              <w:t>2024</w:t>
            </w:r>
          </w:p>
        </w:tc>
        <w:tc>
          <w:tcPr>
            <w:tcW w:w="1061" w:type="dxa"/>
          </w:tcPr>
          <w:p w14:paraId="6030A621" w14:textId="77777777" w:rsidR="00BB6A18" w:rsidRPr="00BA389A" w:rsidRDefault="00BB6A18">
            <w:pPr>
              <w:rPr>
                <w:rFonts w:ascii="Arial" w:hAnsi="Arial" w:cs="Arial"/>
                <w:sz w:val="20"/>
                <w:lang w:val="mi-NZ"/>
              </w:rPr>
            </w:pPr>
            <w:r w:rsidRPr="00BA389A">
              <w:rPr>
                <w:rFonts w:ascii="Arial" w:hAnsi="Arial" w:cs="Arial"/>
                <w:sz w:val="20"/>
                <w:lang w:val="mi-NZ"/>
              </w:rPr>
              <w:t>Percentile shift</w:t>
            </w:r>
          </w:p>
        </w:tc>
      </w:tr>
      <w:tr w:rsidR="00BB6A18" w:rsidRPr="00217844" w14:paraId="642F9AA2" w14:textId="77777777">
        <w:tc>
          <w:tcPr>
            <w:tcW w:w="6314" w:type="dxa"/>
          </w:tcPr>
          <w:p w14:paraId="5F5A8DA0" w14:textId="77777777" w:rsidR="00BB6A18" w:rsidRPr="00BA389A" w:rsidRDefault="00BB6A18">
            <w:pPr>
              <w:rPr>
                <w:rFonts w:ascii="Arial" w:hAnsi="Arial" w:cs="Arial"/>
                <w:color w:val="000000"/>
                <w:sz w:val="20"/>
              </w:rPr>
            </w:pPr>
            <w:r w:rsidRPr="00BA389A">
              <w:rPr>
                <w:rFonts w:ascii="Arial" w:hAnsi="Arial" w:cs="Arial"/>
                <w:color w:val="000000"/>
                <w:sz w:val="20"/>
              </w:rPr>
              <w:t>Table 1.03</w:t>
            </w:r>
          </w:p>
          <w:p w14:paraId="2FF823F8" w14:textId="77777777" w:rsidR="00BB6A18" w:rsidRPr="00BA389A" w:rsidRDefault="00BB6A18">
            <w:pPr>
              <w:rPr>
                <w:rFonts w:ascii="Arial" w:hAnsi="Arial" w:cs="Arial"/>
                <w:color w:val="000000"/>
                <w:sz w:val="20"/>
              </w:rPr>
            </w:pPr>
            <w:r w:rsidRPr="00BA389A">
              <w:rPr>
                <w:rFonts w:ascii="Arial" w:hAnsi="Arial" w:cs="Arial"/>
                <w:color w:val="000000"/>
                <w:sz w:val="20"/>
              </w:rPr>
              <w:t xml:space="preserve">Percentage of children living in households in New Zealand in each financial year who fell in: Low income: less than 50% median equivalised disposable household income before housing costs (BHC) for the financial year </w:t>
            </w:r>
          </w:p>
        </w:tc>
        <w:tc>
          <w:tcPr>
            <w:tcW w:w="1132" w:type="dxa"/>
          </w:tcPr>
          <w:p w14:paraId="5D88A9B3" w14:textId="77777777" w:rsidR="00BB6A18" w:rsidRPr="00BA389A" w:rsidRDefault="00BB6A18">
            <w:pPr>
              <w:rPr>
                <w:rFonts w:ascii="Arial" w:hAnsi="Arial" w:cs="Arial"/>
                <w:sz w:val="20"/>
                <w:lang w:val="mi-NZ"/>
              </w:rPr>
            </w:pPr>
          </w:p>
          <w:p w14:paraId="5EE3123D" w14:textId="77777777" w:rsidR="00BB6A18" w:rsidRPr="00BA389A" w:rsidRDefault="00BB6A18">
            <w:pPr>
              <w:rPr>
                <w:rFonts w:ascii="Arial" w:hAnsi="Arial" w:cs="Arial"/>
                <w:sz w:val="20"/>
                <w:lang w:val="mi-NZ"/>
              </w:rPr>
            </w:pPr>
            <w:r w:rsidRPr="00BA389A">
              <w:rPr>
                <w:rFonts w:ascii="Arial" w:hAnsi="Arial" w:cs="Arial"/>
                <w:sz w:val="20"/>
                <w:lang w:val="mi-NZ"/>
              </w:rPr>
              <w:t xml:space="preserve">15.0% </w:t>
            </w:r>
          </w:p>
          <w:p w14:paraId="483FA2AC" w14:textId="77777777" w:rsidR="00BB6A18" w:rsidRPr="00BA389A" w:rsidRDefault="00BB6A18">
            <w:pPr>
              <w:rPr>
                <w:rFonts w:ascii="Arial" w:hAnsi="Arial" w:cs="Arial"/>
                <w:sz w:val="20"/>
                <w:lang w:val="mi-NZ"/>
              </w:rPr>
            </w:pPr>
          </w:p>
          <w:p w14:paraId="4C508BA2" w14:textId="77777777" w:rsidR="00BB6A18" w:rsidRPr="00BA389A" w:rsidRDefault="00BB6A18">
            <w:pPr>
              <w:rPr>
                <w:rFonts w:ascii="Arial" w:hAnsi="Arial" w:cs="Arial"/>
                <w:sz w:val="20"/>
                <w:lang w:val="mi-NZ"/>
              </w:rPr>
            </w:pPr>
            <w:r w:rsidRPr="00BA389A">
              <w:rPr>
                <w:rFonts w:ascii="Arial" w:hAnsi="Arial" w:cs="Arial"/>
                <w:sz w:val="20"/>
                <w:lang w:val="mi-NZ"/>
              </w:rPr>
              <w:t>45,800</w:t>
            </w:r>
          </w:p>
          <w:p w14:paraId="490995F3" w14:textId="77777777" w:rsidR="00BB6A18" w:rsidRPr="00BA389A" w:rsidRDefault="00BB6A18">
            <w:pPr>
              <w:rPr>
                <w:rFonts w:ascii="Arial" w:hAnsi="Arial" w:cs="Arial"/>
                <w:sz w:val="20"/>
                <w:lang w:val="mi-NZ"/>
              </w:rPr>
            </w:pPr>
          </w:p>
        </w:tc>
        <w:tc>
          <w:tcPr>
            <w:tcW w:w="1133" w:type="dxa"/>
          </w:tcPr>
          <w:p w14:paraId="0FCA6BCA" w14:textId="77777777" w:rsidR="00BB6A18" w:rsidRPr="00BA389A" w:rsidRDefault="00BB6A18">
            <w:pPr>
              <w:rPr>
                <w:rFonts w:ascii="Arial" w:hAnsi="Arial" w:cs="Arial"/>
                <w:sz w:val="20"/>
                <w:lang w:val="mi-NZ"/>
              </w:rPr>
            </w:pPr>
          </w:p>
          <w:p w14:paraId="6395D60F" w14:textId="77777777" w:rsidR="00BB6A18" w:rsidRPr="00BA389A" w:rsidRDefault="00BB6A18">
            <w:pPr>
              <w:rPr>
                <w:rFonts w:ascii="Arial" w:hAnsi="Arial" w:cs="Arial"/>
                <w:sz w:val="20"/>
                <w:lang w:val="mi-NZ"/>
              </w:rPr>
            </w:pPr>
            <w:r w:rsidRPr="00BA389A">
              <w:rPr>
                <w:rFonts w:ascii="Arial" w:hAnsi="Arial" w:cs="Arial"/>
                <w:sz w:val="20"/>
                <w:lang w:val="mi-NZ"/>
              </w:rPr>
              <w:t xml:space="preserve">15.0% </w:t>
            </w:r>
          </w:p>
          <w:p w14:paraId="0641E7B4" w14:textId="77777777" w:rsidR="00BB6A18" w:rsidRPr="00BA389A" w:rsidRDefault="00BB6A18">
            <w:pPr>
              <w:rPr>
                <w:rFonts w:ascii="Arial" w:hAnsi="Arial" w:cs="Arial"/>
                <w:sz w:val="20"/>
                <w:lang w:val="mi-NZ"/>
              </w:rPr>
            </w:pPr>
          </w:p>
          <w:p w14:paraId="2962873C" w14:textId="77777777" w:rsidR="00BB6A18" w:rsidRPr="00BA389A" w:rsidRDefault="00BB6A18">
            <w:pPr>
              <w:rPr>
                <w:rFonts w:ascii="Arial" w:hAnsi="Arial" w:cs="Arial"/>
                <w:sz w:val="20"/>
                <w:lang w:val="mi-NZ"/>
              </w:rPr>
            </w:pPr>
            <w:r w:rsidRPr="00BA389A">
              <w:rPr>
                <w:rFonts w:ascii="Arial" w:hAnsi="Arial" w:cs="Arial"/>
                <w:sz w:val="20"/>
                <w:lang w:val="mi-NZ"/>
              </w:rPr>
              <w:t>44,900</w:t>
            </w:r>
          </w:p>
          <w:p w14:paraId="43EACE08" w14:textId="77777777" w:rsidR="00BB6A18" w:rsidRPr="00BA389A" w:rsidRDefault="00BB6A18">
            <w:pPr>
              <w:rPr>
                <w:rFonts w:ascii="Arial" w:hAnsi="Arial" w:cs="Arial"/>
                <w:sz w:val="20"/>
                <w:lang w:val="mi-NZ"/>
              </w:rPr>
            </w:pPr>
          </w:p>
        </w:tc>
        <w:tc>
          <w:tcPr>
            <w:tcW w:w="1061" w:type="dxa"/>
          </w:tcPr>
          <w:p w14:paraId="21EEDC74" w14:textId="77777777" w:rsidR="00BB6A18" w:rsidRPr="00BA389A" w:rsidRDefault="00BB6A18">
            <w:pPr>
              <w:rPr>
                <w:rFonts w:ascii="Arial" w:hAnsi="Arial" w:cs="Arial"/>
                <w:noProof/>
                <w:sz w:val="20"/>
                <w:lang w:val="mi-NZ" w:eastAsia="en-NZ"/>
              </w:rPr>
            </w:pPr>
          </w:p>
          <w:p w14:paraId="638C15EC" w14:textId="77777777" w:rsidR="00BB6A18" w:rsidRPr="00BA389A" w:rsidRDefault="00BB6A18">
            <w:pPr>
              <w:rPr>
                <w:rFonts w:ascii="Arial" w:hAnsi="Arial" w:cs="Arial"/>
                <w:sz w:val="20"/>
                <w:lang w:val="mi-NZ"/>
              </w:rPr>
            </w:pPr>
            <w:r w:rsidRPr="00BA389A">
              <w:rPr>
                <w:rFonts w:ascii="Arial" w:hAnsi="Arial" w:cs="Arial"/>
                <w:sz w:val="20"/>
                <w:lang w:val="mi-NZ"/>
              </w:rPr>
              <w:t>No signficant change</w:t>
            </w:r>
          </w:p>
          <w:p w14:paraId="1031D907" w14:textId="77777777" w:rsidR="00BB6A18" w:rsidRPr="00BA389A" w:rsidRDefault="00BB6A18">
            <w:pPr>
              <w:rPr>
                <w:rFonts w:ascii="Arial" w:hAnsi="Arial" w:cs="Arial"/>
                <w:sz w:val="20"/>
                <w:lang w:val="mi-NZ"/>
              </w:rPr>
            </w:pPr>
          </w:p>
          <w:p w14:paraId="635F904C" w14:textId="77777777" w:rsidR="00BB6A18" w:rsidRPr="00BA389A" w:rsidRDefault="00BB6A18">
            <w:pPr>
              <w:rPr>
                <w:rFonts w:ascii="Arial" w:hAnsi="Arial" w:cs="Arial"/>
                <w:sz w:val="20"/>
                <w:lang w:val="mi-NZ"/>
              </w:rPr>
            </w:pPr>
          </w:p>
        </w:tc>
      </w:tr>
      <w:tr w:rsidR="00BB6A18" w:rsidRPr="006F282F" w14:paraId="3A1E9F15" w14:textId="77777777">
        <w:trPr>
          <w:trHeight w:val="1469"/>
        </w:trPr>
        <w:tc>
          <w:tcPr>
            <w:tcW w:w="6314" w:type="dxa"/>
          </w:tcPr>
          <w:p w14:paraId="114C2FB1" w14:textId="77777777" w:rsidR="00BB6A18" w:rsidRPr="00BA389A" w:rsidRDefault="00BB6A18">
            <w:pPr>
              <w:rPr>
                <w:rFonts w:ascii="Arial" w:hAnsi="Arial" w:cs="Arial"/>
                <w:b/>
                <w:bCs/>
                <w:color w:val="000000"/>
                <w:sz w:val="20"/>
              </w:rPr>
            </w:pPr>
            <w:r w:rsidRPr="00BA389A">
              <w:rPr>
                <w:rFonts w:ascii="Arial" w:hAnsi="Arial" w:cs="Arial"/>
                <w:b/>
                <w:bCs/>
                <w:color w:val="000000"/>
                <w:sz w:val="20"/>
              </w:rPr>
              <w:t>Table 2.03</w:t>
            </w:r>
          </w:p>
          <w:p w14:paraId="32CE4FED" w14:textId="77777777" w:rsidR="00BB6A18" w:rsidRPr="00BA389A" w:rsidRDefault="00BB6A18">
            <w:pPr>
              <w:rPr>
                <w:rFonts w:ascii="Arial" w:hAnsi="Arial" w:cs="Arial"/>
                <w:b/>
                <w:bCs/>
                <w:color w:val="000000"/>
                <w:sz w:val="20"/>
              </w:rPr>
            </w:pPr>
            <w:r w:rsidRPr="00BA389A">
              <w:rPr>
                <w:rFonts w:ascii="Arial" w:hAnsi="Arial" w:cs="Arial"/>
                <w:b/>
                <w:bCs/>
                <w:color w:val="000000"/>
                <w:sz w:val="20"/>
              </w:rPr>
              <w:t xml:space="preserve">Percentage of children living in households in New Zealand in each financial year who fell in: Low income: less than 50% median equivalised disposable household income after housing costs (AHC) for the base financial </w:t>
            </w:r>
            <w:proofErr w:type="gramStart"/>
            <w:r w:rsidRPr="00BA389A">
              <w:rPr>
                <w:rFonts w:ascii="Arial" w:hAnsi="Arial" w:cs="Arial"/>
                <w:b/>
                <w:bCs/>
                <w:color w:val="000000"/>
                <w:sz w:val="20"/>
              </w:rPr>
              <w:t>year</w:t>
            </w:r>
            <w:r w:rsidRPr="00BA389A">
              <w:rPr>
                <w:rFonts w:ascii="Arial" w:hAnsi="Arial" w:cs="Arial"/>
                <w:b/>
                <w:bCs/>
                <w:color w:val="000000"/>
                <w:sz w:val="20"/>
                <w:vertAlign w:val="superscript"/>
              </w:rPr>
              <w:t>(</w:t>
            </w:r>
            <w:proofErr w:type="gramEnd"/>
            <w:r w:rsidRPr="00BA389A">
              <w:rPr>
                <w:rFonts w:ascii="Arial" w:hAnsi="Arial" w:cs="Arial"/>
                <w:b/>
                <w:bCs/>
                <w:color w:val="000000"/>
                <w:sz w:val="20"/>
                <w:vertAlign w:val="superscript"/>
              </w:rPr>
              <w:t>1)</w:t>
            </w:r>
          </w:p>
        </w:tc>
        <w:tc>
          <w:tcPr>
            <w:tcW w:w="1132" w:type="dxa"/>
          </w:tcPr>
          <w:p w14:paraId="2FDCFA89" w14:textId="77777777" w:rsidR="00BB6A18" w:rsidRPr="00BA389A" w:rsidRDefault="00BB6A18">
            <w:pPr>
              <w:rPr>
                <w:rFonts w:ascii="Arial" w:hAnsi="Arial" w:cs="Arial"/>
                <w:b/>
                <w:bCs/>
                <w:sz w:val="20"/>
                <w:lang w:val="mi-NZ"/>
              </w:rPr>
            </w:pPr>
          </w:p>
          <w:p w14:paraId="4B841F87" w14:textId="77777777" w:rsidR="00BB6A18" w:rsidRPr="00BA389A" w:rsidRDefault="00BB6A18">
            <w:pPr>
              <w:rPr>
                <w:rFonts w:ascii="Arial" w:hAnsi="Arial" w:cs="Arial"/>
                <w:b/>
                <w:bCs/>
                <w:sz w:val="20"/>
                <w:lang w:val="mi-NZ"/>
              </w:rPr>
            </w:pPr>
            <w:r w:rsidRPr="00BA389A">
              <w:rPr>
                <w:rFonts w:ascii="Arial" w:hAnsi="Arial" w:cs="Arial"/>
                <w:b/>
                <w:bCs/>
                <w:sz w:val="20"/>
                <w:lang w:val="mi-NZ"/>
              </w:rPr>
              <w:t>18.9%</w:t>
            </w:r>
          </w:p>
          <w:p w14:paraId="26BA5C01" w14:textId="77777777" w:rsidR="00BB6A18" w:rsidRPr="00BA389A" w:rsidRDefault="00BB6A18">
            <w:pPr>
              <w:rPr>
                <w:rFonts w:ascii="Arial" w:hAnsi="Arial" w:cs="Arial"/>
                <w:b/>
                <w:bCs/>
                <w:sz w:val="20"/>
                <w:lang w:val="mi-NZ"/>
              </w:rPr>
            </w:pPr>
          </w:p>
          <w:p w14:paraId="566863A9" w14:textId="77777777" w:rsidR="00BB6A18" w:rsidRPr="00BA389A" w:rsidRDefault="00BB6A18">
            <w:pPr>
              <w:rPr>
                <w:rFonts w:ascii="Arial" w:hAnsi="Arial" w:cs="Arial"/>
                <w:b/>
                <w:bCs/>
                <w:sz w:val="20"/>
                <w:lang w:val="mi-NZ"/>
              </w:rPr>
            </w:pPr>
            <w:r w:rsidRPr="00BA389A">
              <w:rPr>
                <w:rFonts w:ascii="Arial" w:hAnsi="Arial" w:cs="Arial"/>
                <w:b/>
                <w:bCs/>
                <w:sz w:val="20"/>
                <w:lang w:val="mi-NZ"/>
              </w:rPr>
              <w:t>58,000</w:t>
            </w:r>
          </w:p>
        </w:tc>
        <w:tc>
          <w:tcPr>
            <w:tcW w:w="1133" w:type="dxa"/>
          </w:tcPr>
          <w:p w14:paraId="7DC4274D" w14:textId="77777777" w:rsidR="00BB6A18" w:rsidRPr="00BA389A" w:rsidRDefault="00BB6A18">
            <w:pPr>
              <w:rPr>
                <w:rFonts w:ascii="Arial" w:hAnsi="Arial" w:cs="Arial"/>
                <w:b/>
                <w:bCs/>
                <w:sz w:val="20"/>
                <w:lang w:val="mi-NZ"/>
              </w:rPr>
            </w:pPr>
          </w:p>
          <w:p w14:paraId="6924BE2A" w14:textId="77777777" w:rsidR="00BB6A18" w:rsidRPr="00BA389A" w:rsidRDefault="00BB6A18">
            <w:pPr>
              <w:rPr>
                <w:rFonts w:ascii="Arial" w:hAnsi="Arial" w:cs="Arial"/>
                <w:b/>
                <w:bCs/>
                <w:sz w:val="20"/>
                <w:lang w:val="mi-NZ"/>
              </w:rPr>
            </w:pPr>
            <w:r w:rsidRPr="00BA389A">
              <w:rPr>
                <w:rFonts w:ascii="Arial" w:hAnsi="Arial" w:cs="Arial"/>
                <w:b/>
                <w:bCs/>
                <w:sz w:val="20"/>
                <w:lang w:val="mi-NZ"/>
              </w:rPr>
              <w:t>19.7%</w:t>
            </w:r>
          </w:p>
          <w:p w14:paraId="41A04193" w14:textId="77777777" w:rsidR="00BB6A18" w:rsidRPr="00BA389A" w:rsidRDefault="00BB6A18">
            <w:pPr>
              <w:rPr>
                <w:rFonts w:ascii="Arial" w:hAnsi="Arial" w:cs="Arial"/>
                <w:b/>
                <w:bCs/>
                <w:sz w:val="20"/>
                <w:lang w:val="mi-NZ"/>
              </w:rPr>
            </w:pPr>
          </w:p>
          <w:p w14:paraId="3C0088F5" w14:textId="77777777" w:rsidR="00BB6A18" w:rsidRPr="00BA389A" w:rsidRDefault="00BB6A18">
            <w:pPr>
              <w:rPr>
                <w:rFonts w:ascii="Arial" w:hAnsi="Arial" w:cs="Arial"/>
                <w:b/>
                <w:bCs/>
                <w:sz w:val="20"/>
                <w:lang w:val="mi-NZ"/>
              </w:rPr>
            </w:pPr>
            <w:r w:rsidRPr="00BA389A">
              <w:rPr>
                <w:rFonts w:ascii="Arial" w:hAnsi="Arial" w:cs="Arial"/>
                <w:b/>
                <w:bCs/>
                <w:sz w:val="20"/>
                <w:lang w:val="mi-NZ"/>
              </w:rPr>
              <w:t>58,800</w:t>
            </w:r>
          </w:p>
        </w:tc>
        <w:tc>
          <w:tcPr>
            <w:tcW w:w="1061" w:type="dxa"/>
          </w:tcPr>
          <w:p w14:paraId="7B92EFB3" w14:textId="77777777" w:rsidR="00BB6A18" w:rsidRPr="00BA389A" w:rsidRDefault="00BB6A18">
            <w:pPr>
              <w:rPr>
                <w:rFonts w:ascii="Arial" w:hAnsi="Arial" w:cs="Arial"/>
                <w:b/>
                <w:bCs/>
                <w:sz w:val="20"/>
                <w:lang w:val="mi-NZ"/>
              </w:rPr>
            </w:pPr>
          </w:p>
          <w:p w14:paraId="4F0297EB" w14:textId="77777777" w:rsidR="00BB6A18" w:rsidRPr="00BA389A" w:rsidRDefault="00BB6A18">
            <w:pPr>
              <w:rPr>
                <w:rFonts w:ascii="Arial" w:hAnsi="Arial" w:cs="Arial"/>
                <w:sz w:val="20"/>
                <w:lang w:val="mi-NZ"/>
              </w:rPr>
            </w:pPr>
            <w:r w:rsidRPr="00BA389A">
              <w:rPr>
                <w:rFonts w:ascii="Arial" w:hAnsi="Arial" w:cs="Arial"/>
                <w:sz w:val="20"/>
                <w:lang w:val="mi-NZ"/>
              </w:rPr>
              <w:t>No signficant change</w:t>
            </w:r>
          </w:p>
          <w:p w14:paraId="318AEFCF" w14:textId="77777777" w:rsidR="00BB6A18" w:rsidRPr="00BA389A" w:rsidRDefault="00BB6A18">
            <w:pPr>
              <w:rPr>
                <w:rFonts w:ascii="Arial" w:hAnsi="Arial" w:cs="Arial"/>
                <w:b/>
                <w:bCs/>
                <w:sz w:val="20"/>
                <w:lang w:val="mi-NZ"/>
              </w:rPr>
            </w:pPr>
          </w:p>
        </w:tc>
      </w:tr>
      <w:tr w:rsidR="00BB6A18" w:rsidRPr="00217844" w14:paraId="4AD26685" w14:textId="77777777">
        <w:tc>
          <w:tcPr>
            <w:tcW w:w="6314" w:type="dxa"/>
          </w:tcPr>
          <w:p w14:paraId="43C9BC06" w14:textId="77777777" w:rsidR="00BB6A18" w:rsidRPr="00BA389A" w:rsidRDefault="00BB6A18">
            <w:pPr>
              <w:rPr>
                <w:rFonts w:ascii="Arial" w:hAnsi="Arial" w:cs="Arial"/>
                <w:color w:val="000000"/>
                <w:sz w:val="20"/>
              </w:rPr>
            </w:pPr>
            <w:r w:rsidRPr="00BA389A">
              <w:rPr>
                <w:rFonts w:ascii="Arial" w:hAnsi="Arial" w:cs="Arial"/>
                <w:color w:val="000000"/>
                <w:sz w:val="20"/>
              </w:rPr>
              <w:t>Table 3.03</w:t>
            </w:r>
          </w:p>
          <w:p w14:paraId="2D3F1264" w14:textId="77777777" w:rsidR="00BB6A18" w:rsidRPr="00BA389A" w:rsidRDefault="00BB6A18">
            <w:pPr>
              <w:rPr>
                <w:rFonts w:ascii="Arial" w:hAnsi="Arial" w:cs="Arial"/>
                <w:color w:val="000000"/>
                <w:sz w:val="20"/>
              </w:rPr>
            </w:pPr>
            <w:r w:rsidRPr="00BA389A">
              <w:rPr>
                <w:rFonts w:ascii="Arial" w:hAnsi="Arial" w:cs="Arial"/>
                <w:color w:val="000000"/>
                <w:sz w:val="20"/>
              </w:rPr>
              <w:t xml:space="preserve">Percentage of children living in households in New Zealand in each financial year in: Material </w:t>
            </w:r>
            <w:proofErr w:type="gramStart"/>
            <w:r w:rsidRPr="00BA389A">
              <w:rPr>
                <w:rFonts w:ascii="Arial" w:hAnsi="Arial" w:cs="Arial"/>
                <w:color w:val="000000"/>
                <w:sz w:val="20"/>
              </w:rPr>
              <w:t>hardship</w:t>
            </w:r>
            <w:r w:rsidRPr="00BA389A">
              <w:rPr>
                <w:rFonts w:ascii="Arial" w:hAnsi="Arial" w:cs="Arial"/>
                <w:color w:val="000000"/>
                <w:sz w:val="20"/>
                <w:vertAlign w:val="superscript"/>
              </w:rPr>
              <w:t>(</w:t>
            </w:r>
            <w:proofErr w:type="gramEnd"/>
            <w:r w:rsidRPr="00BA389A">
              <w:rPr>
                <w:rFonts w:ascii="Arial" w:hAnsi="Arial" w:cs="Arial"/>
                <w:color w:val="000000"/>
                <w:sz w:val="20"/>
                <w:vertAlign w:val="superscript"/>
              </w:rPr>
              <w:t>1)</w:t>
            </w:r>
          </w:p>
          <w:p w14:paraId="67B1427E" w14:textId="77777777" w:rsidR="00BB6A18" w:rsidRPr="00BA389A" w:rsidRDefault="00BB6A18">
            <w:pPr>
              <w:rPr>
                <w:rFonts w:ascii="Arial" w:hAnsi="Arial" w:cs="Arial"/>
                <w:color w:val="000000"/>
                <w:sz w:val="20"/>
              </w:rPr>
            </w:pPr>
          </w:p>
          <w:p w14:paraId="1650D682" w14:textId="77777777" w:rsidR="00BB6A18" w:rsidRPr="00BA389A" w:rsidRDefault="00BB6A18">
            <w:pPr>
              <w:rPr>
                <w:rFonts w:ascii="Arial" w:hAnsi="Arial" w:cs="Arial"/>
                <w:sz w:val="20"/>
                <w:lang w:val="mi-NZ"/>
              </w:rPr>
            </w:pPr>
          </w:p>
        </w:tc>
        <w:tc>
          <w:tcPr>
            <w:tcW w:w="1132" w:type="dxa"/>
          </w:tcPr>
          <w:p w14:paraId="364200EF" w14:textId="77777777" w:rsidR="00BB6A18" w:rsidRPr="00BA389A" w:rsidRDefault="00BB6A18">
            <w:pPr>
              <w:rPr>
                <w:rFonts w:ascii="Arial" w:hAnsi="Arial" w:cs="Arial"/>
                <w:sz w:val="20"/>
                <w:lang w:val="mi-NZ"/>
              </w:rPr>
            </w:pPr>
          </w:p>
          <w:p w14:paraId="1D2AA426" w14:textId="77777777" w:rsidR="00BB6A18" w:rsidRPr="00BA389A" w:rsidRDefault="00BB6A18">
            <w:pPr>
              <w:rPr>
                <w:rFonts w:ascii="Arial" w:hAnsi="Arial" w:cs="Arial"/>
                <w:sz w:val="20"/>
                <w:lang w:val="mi-NZ"/>
              </w:rPr>
            </w:pPr>
            <w:r w:rsidRPr="00BA389A">
              <w:rPr>
                <w:rFonts w:ascii="Arial" w:hAnsi="Arial" w:cs="Arial"/>
                <w:sz w:val="20"/>
                <w:lang w:val="mi-NZ"/>
              </w:rPr>
              <w:t>25.1%</w:t>
            </w:r>
          </w:p>
          <w:p w14:paraId="07E7F8AF" w14:textId="77777777" w:rsidR="00BB6A18" w:rsidRPr="00BA389A" w:rsidRDefault="00BB6A18">
            <w:pPr>
              <w:rPr>
                <w:rFonts w:ascii="Arial" w:hAnsi="Arial" w:cs="Arial"/>
                <w:sz w:val="20"/>
                <w:lang w:val="mi-NZ"/>
              </w:rPr>
            </w:pPr>
          </w:p>
          <w:p w14:paraId="693C11DC" w14:textId="77777777" w:rsidR="00BB6A18" w:rsidRPr="00BA389A" w:rsidRDefault="00BB6A18">
            <w:pPr>
              <w:rPr>
                <w:rFonts w:ascii="Arial" w:hAnsi="Arial" w:cs="Arial"/>
                <w:sz w:val="20"/>
                <w:lang w:val="mi-NZ"/>
              </w:rPr>
            </w:pPr>
            <w:r w:rsidRPr="00BA389A">
              <w:rPr>
                <w:rFonts w:ascii="Arial" w:hAnsi="Arial" w:cs="Arial"/>
                <w:sz w:val="20"/>
                <w:lang w:val="mi-NZ"/>
              </w:rPr>
              <w:t>76,900</w:t>
            </w:r>
          </w:p>
        </w:tc>
        <w:tc>
          <w:tcPr>
            <w:tcW w:w="1133" w:type="dxa"/>
          </w:tcPr>
          <w:p w14:paraId="40861F48" w14:textId="77777777" w:rsidR="00BB6A18" w:rsidRPr="00BA389A" w:rsidRDefault="00BB6A18">
            <w:pPr>
              <w:rPr>
                <w:rFonts w:ascii="Arial" w:hAnsi="Arial" w:cs="Arial"/>
                <w:sz w:val="20"/>
                <w:lang w:val="mi-NZ"/>
              </w:rPr>
            </w:pPr>
          </w:p>
          <w:p w14:paraId="746AD862" w14:textId="77777777" w:rsidR="00BB6A18" w:rsidRPr="00BA389A" w:rsidRDefault="00BB6A18">
            <w:pPr>
              <w:rPr>
                <w:rFonts w:ascii="Arial" w:hAnsi="Arial" w:cs="Arial"/>
                <w:sz w:val="20"/>
                <w:lang w:val="mi-NZ"/>
              </w:rPr>
            </w:pPr>
            <w:r w:rsidRPr="00BA389A">
              <w:rPr>
                <w:rFonts w:ascii="Arial" w:hAnsi="Arial" w:cs="Arial"/>
                <w:sz w:val="20"/>
                <w:lang w:val="mi-NZ"/>
              </w:rPr>
              <w:t>24.2%</w:t>
            </w:r>
          </w:p>
          <w:p w14:paraId="41FC0F87" w14:textId="77777777" w:rsidR="00BB6A18" w:rsidRPr="00BA389A" w:rsidRDefault="00BB6A18">
            <w:pPr>
              <w:rPr>
                <w:rFonts w:ascii="Arial" w:hAnsi="Arial" w:cs="Arial"/>
                <w:sz w:val="20"/>
                <w:lang w:val="mi-NZ"/>
              </w:rPr>
            </w:pPr>
          </w:p>
          <w:p w14:paraId="7DEC857B" w14:textId="77777777" w:rsidR="00BB6A18" w:rsidRPr="00BA389A" w:rsidRDefault="00BB6A18">
            <w:pPr>
              <w:rPr>
                <w:rFonts w:ascii="Arial" w:hAnsi="Arial" w:cs="Arial"/>
                <w:sz w:val="20"/>
                <w:lang w:val="mi-NZ"/>
              </w:rPr>
            </w:pPr>
            <w:r w:rsidRPr="00BA389A">
              <w:rPr>
                <w:rFonts w:ascii="Arial" w:hAnsi="Arial" w:cs="Arial"/>
                <w:sz w:val="20"/>
                <w:lang w:val="mi-NZ"/>
              </w:rPr>
              <w:t>71,900</w:t>
            </w:r>
          </w:p>
        </w:tc>
        <w:tc>
          <w:tcPr>
            <w:tcW w:w="1061" w:type="dxa"/>
          </w:tcPr>
          <w:p w14:paraId="75C9BEE9" w14:textId="77777777" w:rsidR="00BB6A18" w:rsidRPr="00BA389A" w:rsidRDefault="00BB6A18">
            <w:pPr>
              <w:rPr>
                <w:rFonts w:ascii="Arial" w:hAnsi="Arial" w:cs="Arial"/>
                <w:sz w:val="20"/>
                <w:lang w:val="mi-NZ"/>
              </w:rPr>
            </w:pPr>
          </w:p>
          <w:p w14:paraId="57ADDAF7" w14:textId="77777777" w:rsidR="00BB6A18" w:rsidRPr="00BA389A" w:rsidRDefault="00BB6A18">
            <w:pPr>
              <w:rPr>
                <w:rFonts w:ascii="Arial" w:hAnsi="Arial" w:cs="Arial"/>
                <w:sz w:val="20"/>
                <w:lang w:val="mi-NZ"/>
              </w:rPr>
            </w:pPr>
            <w:r w:rsidRPr="00BA389A">
              <w:rPr>
                <w:rFonts w:ascii="Arial" w:hAnsi="Arial" w:cs="Arial"/>
                <w:sz w:val="20"/>
                <w:lang w:val="mi-NZ"/>
              </w:rPr>
              <w:t>No signficant change</w:t>
            </w:r>
          </w:p>
          <w:p w14:paraId="43B62C58" w14:textId="77777777" w:rsidR="00BB6A18" w:rsidRPr="00BA389A" w:rsidRDefault="00BB6A18">
            <w:pPr>
              <w:rPr>
                <w:rFonts w:ascii="Arial" w:hAnsi="Arial" w:cs="Arial"/>
                <w:sz w:val="20"/>
                <w:lang w:val="mi-NZ"/>
              </w:rPr>
            </w:pPr>
          </w:p>
          <w:p w14:paraId="3ECFF40D" w14:textId="77777777" w:rsidR="00BB6A18" w:rsidRPr="00BA389A" w:rsidRDefault="00BB6A18">
            <w:pPr>
              <w:rPr>
                <w:rFonts w:ascii="Arial" w:hAnsi="Arial" w:cs="Arial"/>
                <w:sz w:val="20"/>
                <w:lang w:val="mi-NZ"/>
              </w:rPr>
            </w:pPr>
          </w:p>
        </w:tc>
      </w:tr>
      <w:tr w:rsidR="00BB6A18" w:rsidRPr="00A43B50" w14:paraId="6044F067" w14:textId="77777777">
        <w:tc>
          <w:tcPr>
            <w:tcW w:w="6314" w:type="dxa"/>
          </w:tcPr>
          <w:p w14:paraId="04B3E751" w14:textId="77777777" w:rsidR="00BB6A18" w:rsidRPr="00BA389A" w:rsidRDefault="00BB6A18">
            <w:pPr>
              <w:rPr>
                <w:rFonts w:ascii="Arial" w:hAnsi="Arial" w:cs="Arial"/>
                <w:color w:val="000000"/>
                <w:sz w:val="20"/>
              </w:rPr>
            </w:pPr>
            <w:r w:rsidRPr="00BA389A">
              <w:rPr>
                <w:rFonts w:ascii="Arial" w:hAnsi="Arial" w:cs="Arial"/>
                <w:color w:val="000000"/>
                <w:sz w:val="20"/>
              </w:rPr>
              <w:t>Table 4.03</w:t>
            </w:r>
          </w:p>
          <w:p w14:paraId="04BDD097" w14:textId="77777777" w:rsidR="00BB6A18" w:rsidRPr="00BA389A" w:rsidRDefault="00BB6A18">
            <w:pPr>
              <w:rPr>
                <w:rFonts w:ascii="Arial" w:hAnsi="Arial" w:cs="Arial"/>
                <w:color w:val="000000"/>
                <w:sz w:val="20"/>
              </w:rPr>
            </w:pPr>
            <w:r w:rsidRPr="00BA389A">
              <w:rPr>
                <w:rFonts w:ascii="Arial" w:hAnsi="Arial" w:cs="Arial"/>
                <w:color w:val="000000"/>
                <w:sz w:val="20"/>
              </w:rPr>
              <w:t>Percentage of children living in households in New Zealand in each financial year who fell in: Low income: less than 60% median equivalised disposable household income before housing costs (BHC) for the financial year</w:t>
            </w:r>
          </w:p>
          <w:p w14:paraId="00F7F33F" w14:textId="77777777" w:rsidR="00BB6A18" w:rsidRPr="00BA389A" w:rsidRDefault="00BB6A18">
            <w:pPr>
              <w:rPr>
                <w:rFonts w:ascii="Arial" w:hAnsi="Arial" w:cs="Arial"/>
                <w:sz w:val="20"/>
                <w:lang w:val="mi-NZ"/>
              </w:rPr>
            </w:pPr>
          </w:p>
        </w:tc>
        <w:tc>
          <w:tcPr>
            <w:tcW w:w="1132" w:type="dxa"/>
          </w:tcPr>
          <w:p w14:paraId="433B68D1" w14:textId="77777777" w:rsidR="00BB6A18" w:rsidRPr="00BA389A" w:rsidRDefault="00BB6A18">
            <w:pPr>
              <w:rPr>
                <w:rFonts w:ascii="Arial" w:hAnsi="Arial" w:cs="Arial"/>
                <w:sz w:val="20"/>
                <w:lang w:val="mi-NZ"/>
              </w:rPr>
            </w:pPr>
          </w:p>
          <w:p w14:paraId="5930E4DB" w14:textId="77777777" w:rsidR="00BB6A18" w:rsidRPr="00BA389A" w:rsidRDefault="00BB6A18">
            <w:pPr>
              <w:rPr>
                <w:rFonts w:ascii="Arial" w:hAnsi="Arial" w:cs="Arial"/>
                <w:sz w:val="20"/>
                <w:lang w:val="mi-NZ"/>
              </w:rPr>
            </w:pPr>
            <w:r w:rsidRPr="00BA389A">
              <w:rPr>
                <w:rFonts w:ascii="Arial" w:hAnsi="Arial" w:cs="Arial"/>
                <w:sz w:val="20"/>
                <w:lang w:val="mi-NZ"/>
              </w:rPr>
              <w:t>27.2%</w:t>
            </w:r>
          </w:p>
          <w:p w14:paraId="43C87D13" w14:textId="77777777" w:rsidR="00BB6A18" w:rsidRPr="00BA389A" w:rsidRDefault="00BB6A18">
            <w:pPr>
              <w:rPr>
                <w:rFonts w:ascii="Arial" w:hAnsi="Arial" w:cs="Arial"/>
                <w:sz w:val="20"/>
                <w:lang w:val="mi-NZ"/>
              </w:rPr>
            </w:pPr>
          </w:p>
          <w:p w14:paraId="7D7321BB" w14:textId="77777777" w:rsidR="00BB6A18" w:rsidRPr="00BA389A" w:rsidRDefault="00BB6A18">
            <w:pPr>
              <w:rPr>
                <w:rFonts w:ascii="Arial" w:hAnsi="Arial" w:cs="Arial"/>
                <w:sz w:val="20"/>
                <w:lang w:val="mi-NZ"/>
              </w:rPr>
            </w:pPr>
            <w:r w:rsidRPr="00BA389A">
              <w:rPr>
                <w:rFonts w:ascii="Arial" w:hAnsi="Arial" w:cs="Arial"/>
                <w:sz w:val="20"/>
                <w:lang w:val="mi-NZ"/>
              </w:rPr>
              <w:t>83,300</w:t>
            </w:r>
          </w:p>
        </w:tc>
        <w:tc>
          <w:tcPr>
            <w:tcW w:w="1133" w:type="dxa"/>
          </w:tcPr>
          <w:p w14:paraId="44E20F59" w14:textId="77777777" w:rsidR="00BB6A18" w:rsidRPr="00BA389A" w:rsidRDefault="00BB6A18">
            <w:pPr>
              <w:rPr>
                <w:rFonts w:ascii="Arial" w:hAnsi="Arial" w:cs="Arial"/>
                <w:sz w:val="20"/>
                <w:lang w:val="mi-NZ"/>
              </w:rPr>
            </w:pPr>
          </w:p>
          <w:p w14:paraId="2F73B275" w14:textId="77777777" w:rsidR="00BB6A18" w:rsidRPr="00BA389A" w:rsidRDefault="00BB6A18">
            <w:pPr>
              <w:rPr>
                <w:rFonts w:ascii="Arial" w:hAnsi="Arial" w:cs="Arial"/>
                <w:sz w:val="20"/>
                <w:lang w:val="mi-NZ"/>
              </w:rPr>
            </w:pPr>
            <w:r w:rsidRPr="00BA389A">
              <w:rPr>
                <w:rFonts w:ascii="Arial" w:hAnsi="Arial" w:cs="Arial"/>
                <w:sz w:val="20"/>
                <w:lang w:val="mi-NZ"/>
              </w:rPr>
              <w:t>27.9%</w:t>
            </w:r>
          </w:p>
          <w:p w14:paraId="04920647" w14:textId="77777777" w:rsidR="00BB6A18" w:rsidRPr="00BA389A" w:rsidRDefault="00BB6A18">
            <w:pPr>
              <w:rPr>
                <w:rFonts w:ascii="Arial" w:hAnsi="Arial" w:cs="Arial"/>
                <w:sz w:val="20"/>
                <w:lang w:val="mi-NZ"/>
              </w:rPr>
            </w:pPr>
          </w:p>
          <w:p w14:paraId="7107881D" w14:textId="77777777" w:rsidR="00BB6A18" w:rsidRPr="00BA389A" w:rsidRDefault="00BB6A18">
            <w:pPr>
              <w:rPr>
                <w:rFonts w:ascii="Arial" w:hAnsi="Arial" w:cs="Arial"/>
                <w:sz w:val="20"/>
                <w:lang w:val="mi-NZ"/>
              </w:rPr>
            </w:pPr>
            <w:r w:rsidRPr="00BA389A">
              <w:rPr>
                <w:rFonts w:ascii="Arial" w:hAnsi="Arial" w:cs="Arial"/>
                <w:sz w:val="20"/>
                <w:lang w:val="mi-NZ"/>
              </w:rPr>
              <w:t>83,500</w:t>
            </w:r>
          </w:p>
        </w:tc>
        <w:tc>
          <w:tcPr>
            <w:tcW w:w="1061" w:type="dxa"/>
          </w:tcPr>
          <w:p w14:paraId="48FDB4D3" w14:textId="77777777" w:rsidR="00BB6A18" w:rsidRPr="00BA389A" w:rsidRDefault="00BB6A18">
            <w:pPr>
              <w:rPr>
                <w:rFonts w:ascii="Arial" w:hAnsi="Arial" w:cs="Arial"/>
                <w:sz w:val="20"/>
                <w:lang w:val="mi-NZ"/>
              </w:rPr>
            </w:pPr>
          </w:p>
          <w:p w14:paraId="480ED8E5" w14:textId="77777777" w:rsidR="00BB6A18" w:rsidRPr="00BA389A" w:rsidRDefault="00BB6A18">
            <w:pPr>
              <w:rPr>
                <w:rFonts w:ascii="Arial" w:hAnsi="Arial" w:cs="Arial"/>
                <w:sz w:val="20"/>
                <w:lang w:val="mi-NZ"/>
              </w:rPr>
            </w:pPr>
            <w:r w:rsidRPr="00BA389A">
              <w:rPr>
                <w:rFonts w:ascii="Arial" w:hAnsi="Arial" w:cs="Arial"/>
                <w:sz w:val="20"/>
                <w:lang w:val="mi-NZ"/>
              </w:rPr>
              <w:t>No signficant change</w:t>
            </w:r>
          </w:p>
          <w:p w14:paraId="7CA3A5A6" w14:textId="77777777" w:rsidR="00BB6A18" w:rsidRPr="00BA389A" w:rsidRDefault="00BB6A18">
            <w:pPr>
              <w:rPr>
                <w:rFonts w:ascii="Arial" w:hAnsi="Arial" w:cs="Arial"/>
                <w:sz w:val="20"/>
                <w:lang w:val="mi-NZ"/>
              </w:rPr>
            </w:pPr>
          </w:p>
          <w:p w14:paraId="2D16D70E" w14:textId="77777777" w:rsidR="00BB6A18" w:rsidRPr="00BA389A" w:rsidRDefault="00BB6A18">
            <w:pPr>
              <w:rPr>
                <w:rFonts w:ascii="Arial" w:hAnsi="Arial" w:cs="Arial"/>
                <w:sz w:val="20"/>
                <w:lang w:val="mi-NZ"/>
              </w:rPr>
            </w:pPr>
          </w:p>
        </w:tc>
      </w:tr>
      <w:tr w:rsidR="00BB6A18" w:rsidRPr="00217844" w14:paraId="6E3CEB7D" w14:textId="77777777">
        <w:tc>
          <w:tcPr>
            <w:tcW w:w="6314" w:type="dxa"/>
          </w:tcPr>
          <w:p w14:paraId="4FC781B9" w14:textId="77777777" w:rsidR="00BB6A18" w:rsidRPr="00BA389A" w:rsidRDefault="00BB6A18">
            <w:pPr>
              <w:rPr>
                <w:rFonts w:ascii="Arial" w:hAnsi="Arial" w:cs="Arial"/>
                <w:color w:val="000000"/>
                <w:sz w:val="20"/>
              </w:rPr>
            </w:pPr>
            <w:r w:rsidRPr="00BA389A">
              <w:rPr>
                <w:rFonts w:ascii="Arial" w:hAnsi="Arial" w:cs="Arial"/>
                <w:color w:val="000000"/>
                <w:sz w:val="20"/>
              </w:rPr>
              <w:t>Table 5.03</w:t>
            </w:r>
          </w:p>
          <w:p w14:paraId="33C87C09" w14:textId="77777777" w:rsidR="00BB6A18" w:rsidRPr="00BA389A" w:rsidRDefault="00BB6A18">
            <w:pPr>
              <w:rPr>
                <w:rFonts w:ascii="Arial" w:hAnsi="Arial" w:cs="Arial"/>
                <w:color w:val="000000"/>
                <w:sz w:val="20"/>
              </w:rPr>
            </w:pPr>
            <w:r w:rsidRPr="00BA389A">
              <w:rPr>
                <w:rFonts w:ascii="Arial" w:hAnsi="Arial" w:cs="Arial"/>
                <w:color w:val="000000"/>
                <w:sz w:val="20"/>
              </w:rPr>
              <w:t>Percentage of children living in households in New Zealand in each financial year who fell in: Low income: less than 60% median equivalised disposable household income after housing costs (AHC) for the financial year</w:t>
            </w:r>
          </w:p>
          <w:p w14:paraId="2D4B3957" w14:textId="77777777" w:rsidR="00BB6A18" w:rsidRPr="00BA389A" w:rsidRDefault="00BB6A18">
            <w:pPr>
              <w:rPr>
                <w:rFonts w:ascii="Arial" w:hAnsi="Arial" w:cs="Arial"/>
                <w:sz w:val="20"/>
                <w:lang w:val="mi-NZ"/>
              </w:rPr>
            </w:pPr>
          </w:p>
        </w:tc>
        <w:tc>
          <w:tcPr>
            <w:tcW w:w="1132" w:type="dxa"/>
          </w:tcPr>
          <w:p w14:paraId="39E390CD" w14:textId="77777777" w:rsidR="00BB6A18" w:rsidRPr="00BA389A" w:rsidRDefault="00BB6A18">
            <w:pPr>
              <w:rPr>
                <w:rFonts w:ascii="Arial" w:hAnsi="Arial" w:cs="Arial"/>
                <w:sz w:val="20"/>
                <w:lang w:val="mi-NZ"/>
              </w:rPr>
            </w:pPr>
          </w:p>
          <w:p w14:paraId="6A36EC46" w14:textId="77777777" w:rsidR="00BB6A18" w:rsidRPr="00BA389A" w:rsidRDefault="00BB6A18">
            <w:pPr>
              <w:rPr>
                <w:rFonts w:ascii="Arial" w:hAnsi="Arial" w:cs="Arial"/>
                <w:sz w:val="20"/>
                <w:lang w:val="mi-NZ"/>
              </w:rPr>
            </w:pPr>
            <w:r w:rsidRPr="00BA389A">
              <w:rPr>
                <w:rFonts w:ascii="Arial" w:hAnsi="Arial" w:cs="Arial"/>
                <w:sz w:val="20"/>
                <w:lang w:val="mi-NZ"/>
              </w:rPr>
              <w:t>34.8%</w:t>
            </w:r>
          </w:p>
          <w:p w14:paraId="58133788" w14:textId="77777777" w:rsidR="00BB6A18" w:rsidRPr="00BA389A" w:rsidRDefault="00BB6A18">
            <w:pPr>
              <w:rPr>
                <w:rFonts w:ascii="Arial" w:hAnsi="Arial" w:cs="Arial"/>
                <w:sz w:val="20"/>
                <w:lang w:val="mi-NZ"/>
              </w:rPr>
            </w:pPr>
          </w:p>
          <w:p w14:paraId="74465124" w14:textId="77777777" w:rsidR="00BB6A18" w:rsidRPr="00BA389A" w:rsidRDefault="00BB6A18">
            <w:pPr>
              <w:rPr>
                <w:rFonts w:ascii="Arial" w:hAnsi="Arial" w:cs="Arial"/>
                <w:sz w:val="20"/>
                <w:lang w:val="mi-NZ"/>
              </w:rPr>
            </w:pPr>
            <w:r w:rsidRPr="00BA389A">
              <w:rPr>
                <w:rFonts w:ascii="Arial" w:hAnsi="Arial" w:cs="Arial"/>
                <w:sz w:val="20"/>
                <w:lang w:val="mi-NZ"/>
              </w:rPr>
              <w:t>106,500</w:t>
            </w:r>
          </w:p>
        </w:tc>
        <w:tc>
          <w:tcPr>
            <w:tcW w:w="1133" w:type="dxa"/>
          </w:tcPr>
          <w:p w14:paraId="48A3D221" w14:textId="77777777" w:rsidR="00BB6A18" w:rsidRPr="00BA389A" w:rsidRDefault="00BB6A18">
            <w:pPr>
              <w:rPr>
                <w:rFonts w:ascii="Arial" w:hAnsi="Arial" w:cs="Arial"/>
                <w:sz w:val="20"/>
                <w:lang w:val="mi-NZ"/>
              </w:rPr>
            </w:pPr>
          </w:p>
          <w:p w14:paraId="4FC12629" w14:textId="77777777" w:rsidR="00BB6A18" w:rsidRPr="00BA389A" w:rsidRDefault="00BB6A18">
            <w:pPr>
              <w:rPr>
                <w:rFonts w:ascii="Arial" w:hAnsi="Arial" w:cs="Arial"/>
                <w:sz w:val="20"/>
                <w:lang w:val="mi-NZ"/>
              </w:rPr>
            </w:pPr>
            <w:r w:rsidRPr="00BA389A">
              <w:rPr>
                <w:rFonts w:ascii="Arial" w:hAnsi="Arial" w:cs="Arial"/>
                <w:sz w:val="20"/>
                <w:lang w:val="mi-NZ"/>
              </w:rPr>
              <w:t>35.2%</w:t>
            </w:r>
          </w:p>
          <w:p w14:paraId="3FE1DB7F" w14:textId="77777777" w:rsidR="00BB6A18" w:rsidRPr="00BA389A" w:rsidRDefault="00BB6A18">
            <w:pPr>
              <w:rPr>
                <w:rFonts w:ascii="Arial" w:hAnsi="Arial" w:cs="Arial"/>
                <w:sz w:val="20"/>
                <w:lang w:val="mi-NZ"/>
              </w:rPr>
            </w:pPr>
          </w:p>
          <w:p w14:paraId="56AE607E" w14:textId="77777777" w:rsidR="00BB6A18" w:rsidRPr="00BA389A" w:rsidRDefault="00BB6A18">
            <w:pPr>
              <w:rPr>
                <w:rFonts w:ascii="Arial" w:hAnsi="Arial" w:cs="Arial"/>
                <w:sz w:val="20"/>
                <w:lang w:val="mi-NZ"/>
              </w:rPr>
            </w:pPr>
            <w:r w:rsidRPr="00BA389A">
              <w:rPr>
                <w:rFonts w:ascii="Arial" w:hAnsi="Arial" w:cs="Arial"/>
                <w:sz w:val="20"/>
                <w:lang w:val="mi-NZ"/>
              </w:rPr>
              <w:t>105,400</w:t>
            </w:r>
          </w:p>
        </w:tc>
        <w:tc>
          <w:tcPr>
            <w:tcW w:w="1061" w:type="dxa"/>
          </w:tcPr>
          <w:p w14:paraId="7AB894F1" w14:textId="77777777" w:rsidR="00BB6A18" w:rsidRPr="00BA389A" w:rsidRDefault="00BB6A18">
            <w:pPr>
              <w:rPr>
                <w:rFonts w:ascii="Arial" w:hAnsi="Arial" w:cs="Arial"/>
                <w:sz w:val="20"/>
                <w:lang w:val="mi-NZ"/>
              </w:rPr>
            </w:pPr>
          </w:p>
          <w:p w14:paraId="1636D338" w14:textId="77777777" w:rsidR="00BB6A18" w:rsidRPr="00BA389A" w:rsidRDefault="00BB6A18">
            <w:pPr>
              <w:rPr>
                <w:rFonts w:ascii="Arial" w:hAnsi="Arial" w:cs="Arial"/>
                <w:sz w:val="20"/>
                <w:lang w:val="mi-NZ"/>
              </w:rPr>
            </w:pPr>
            <w:r w:rsidRPr="00BA389A">
              <w:rPr>
                <w:rFonts w:ascii="Arial" w:hAnsi="Arial" w:cs="Arial"/>
                <w:sz w:val="20"/>
                <w:lang w:val="mi-NZ"/>
              </w:rPr>
              <w:t>No signficant change</w:t>
            </w:r>
          </w:p>
          <w:p w14:paraId="5051D3F3" w14:textId="77777777" w:rsidR="00BB6A18" w:rsidRPr="00BA389A" w:rsidRDefault="00BB6A18">
            <w:pPr>
              <w:rPr>
                <w:rFonts w:ascii="Arial" w:hAnsi="Arial" w:cs="Arial"/>
                <w:sz w:val="20"/>
                <w:lang w:val="mi-NZ"/>
              </w:rPr>
            </w:pPr>
          </w:p>
        </w:tc>
      </w:tr>
      <w:tr w:rsidR="00BB6A18" w:rsidRPr="00217844" w14:paraId="408817C5" w14:textId="77777777">
        <w:tc>
          <w:tcPr>
            <w:tcW w:w="6314" w:type="dxa"/>
          </w:tcPr>
          <w:p w14:paraId="32230EED" w14:textId="77777777" w:rsidR="00BB6A18" w:rsidRPr="00BA389A" w:rsidRDefault="00BB6A18">
            <w:pPr>
              <w:rPr>
                <w:rFonts w:ascii="Arial" w:hAnsi="Arial" w:cs="Arial"/>
                <w:color w:val="000000"/>
                <w:sz w:val="20"/>
              </w:rPr>
            </w:pPr>
            <w:r w:rsidRPr="00BA389A">
              <w:rPr>
                <w:rFonts w:ascii="Arial" w:hAnsi="Arial" w:cs="Arial"/>
                <w:color w:val="000000"/>
                <w:sz w:val="20"/>
              </w:rPr>
              <w:t>Table 6.03</w:t>
            </w:r>
          </w:p>
          <w:p w14:paraId="06005EF6" w14:textId="77777777" w:rsidR="00BB6A18" w:rsidRPr="00BA389A" w:rsidRDefault="00BB6A18">
            <w:pPr>
              <w:rPr>
                <w:rFonts w:ascii="Arial" w:hAnsi="Arial" w:cs="Arial"/>
                <w:color w:val="000000"/>
                <w:sz w:val="20"/>
              </w:rPr>
            </w:pPr>
            <w:r w:rsidRPr="00BA389A">
              <w:rPr>
                <w:rFonts w:ascii="Arial" w:hAnsi="Arial" w:cs="Arial"/>
                <w:color w:val="000000"/>
                <w:sz w:val="20"/>
              </w:rPr>
              <w:t>Percentage of children living in households in New Zealand in each financial year who fell in: Low income: less than 50% median equivalised disposable household income after housing costs (AHC) for the financial year</w:t>
            </w:r>
          </w:p>
          <w:p w14:paraId="5747B412" w14:textId="77777777" w:rsidR="00BB6A18" w:rsidRPr="00BA389A" w:rsidRDefault="00BB6A18">
            <w:pPr>
              <w:rPr>
                <w:rFonts w:ascii="Arial" w:hAnsi="Arial" w:cs="Arial"/>
                <w:sz w:val="20"/>
                <w:lang w:val="mi-NZ"/>
              </w:rPr>
            </w:pPr>
          </w:p>
        </w:tc>
        <w:tc>
          <w:tcPr>
            <w:tcW w:w="1132" w:type="dxa"/>
          </w:tcPr>
          <w:p w14:paraId="74D3F2EC" w14:textId="77777777" w:rsidR="00BB6A18" w:rsidRPr="00BA389A" w:rsidRDefault="00BB6A18">
            <w:pPr>
              <w:rPr>
                <w:rFonts w:ascii="Arial" w:hAnsi="Arial" w:cs="Arial"/>
                <w:sz w:val="20"/>
                <w:lang w:val="mi-NZ"/>
              </w:rPr>
            </w:pPr>
          </w:p>
          <w:p w14:paraId="021B4684" w14:textId="77777777" w:rsidR="00BB6A18" w:rsidRPr="00BA389A" w:rsidRDefault="00BB6A18">
            <w:pPr>
              <w:rPr>
                <w:rFonts w:ascii="Arial" w:hAnsi="Arial" w:cs="Arial"/>
                <w:sz w:val="20"/>
                <w:lang w:val="mi-NZ"/>
              </w:rPr>
            </w:pPr>
            <w:r w:rsidRPr="00BA389A">
              <w:rPr>
                <w:rFonts w:ascii="Arial" w:hAnsi="Arial" w:cs="Arial"/>
                <w:sz w:val="20"/>
                <w:lang w:val="mi-NZ"/>
              </w:rPr>
              <w:t>24.0%</w:t>
            </w:r>
          </w:p>
          <w:p w14:paraId="6B6CF650" w14:textId="77777777" w:rsidR="00BB6A18" w:rsidRPr="00BA389A" w:rsidRDefault="00BB6A18">
            <w:pPr>
              <w:rPr>
                <w:rFonts w:ascii="Arial" w:hAnsi="Arial" w:cs="Arial"/>
                <w:sz w:val="20"/>
                <w:lang w:val="mi-NZ"/>
              </w:rPr>
            </w:pPr>
          </w:p>
          <w:p w14:paraId="4E325C64" w14:textId="77777777" w:rsidR="00BB6A18" w:rsidRPr="00BA389A" w:rsidRDefault="00BB6A18">
            <w:pPr>
              <w:rPr>
                <w:rFonts w:ascii="Arial" w:hAnsi="Arial" w:cs="Arial"/>
                <w:sz w:val="20"/>
                <w:lang w:val="mi-NZ"/>
              </w:rPr>
            </w:pPr>
            <w:r w:rsidRPr="00BA389A">
              <w:rPr>
                <w:rFonts w:ascii="Arial" w:hAnsi="Arial" w:cs="Arial"/>
                <w:sz w:val="20"/>
                <w:lang w:val="mi-NZ"/>
              </w:rPr>
              <w:t>73,500</w:t>
            </w:r>
          </w:p>
        </w:tc>
        <w:tc>
          <w:tcPr>
            <w:tcW w:w="1133" w:type="dxa"/>
          </w:tcPr>
          <w:p w14:paraId="7D0F4682" w14:textId="77777777" w:rsidR="00BB6A18" w:rsidRPr="00BA389A" w:rsidRDefault="00BB6A18">
            <w:pPr>
              <w:rPr>
                <w:rFonts w:ascii="Arial" w:hAnsi="Arial" w:cs="Arial"/>
                <w:sz w:val="20"/>
                <w:lang w:val="mi-NZ"/>
              </w:rPr>
            </w:pPr>
          </w:p>
          <w:p w14:paraId="4E10F5CB" w14:textId="77777777" w:rsidR="00BB6A18" w:rsidRPr="00BA389A" w:rsidRDefault="00BB6A18">
            <w:pPr>
              <w:rPr>
                <w:rFonts w:ascii="Arial" w:hAnsi="Arial" w:cs="Arial"/>
                <w:sz w:val="20"/>
                <w:lang w:val="mi-NZ"/>
              </w:rPr>
            </w:pPr>
            <w:r w:rsidRPr="00BA389A">
              <w:rPr>
                <w:rFonts w:ascii="Arial" w:hAnsi="Arial" w:cs="Arial"/>
                <w:sz w:val="20"/>
                <w:lang w:val="mi-NZ"/>
              </w:rPr>
              <w:t>24.0%</w:t>
            </w:r>
          </w:p>
          <w:p w14:paraId="7BB23D4A" w14:textId="77777777" w:rsidR="00BB6A18" w:rsidRPr="00BA389A" w:rsidRDefault="00BB6A18">
            <w:pPr>
              <w:rPr>
                <w:rFonts w:ascii="Arial" w:hAnsi="Arial" w:cs="Arial"/>
                <w:sz w:val="20"/>
                <w:lang w:val="mi-NZ"/>
              </w:rPr>
            </w:pPr>
          </w:p>
          <w:p w14:paraId="7FE64A32" w14:textId="77777777" w:rsidR="00BB6A18" w:rsidRPr="00BA389A" w:rsidRDefault="00BB6A18">
            <w:pPr>
              <w:rPr>
                <w:rFonts w:ascii="Arial" w:hAnsi="Arial" w:cs="Arial"/>
                <w:sz w:val="20"/>
                <w:lang w:val="mi-NZ"/>
              </w:rPr>
            </w:pPr>
            <w:r w:rsidRPr="00BA389A">
              <w:rPr>
                <w:rFonts w:ascii="Arial" w:hAnsi="Arial" w:cs="Arial"/>
                <w:sz w:val="20"/>
                <w:lang w:val="mi-NZ"/>
              </w:rPr>
              <w:t>71,700</w:t>
            </w:r>
          </w:p>
        </w:tc>
        <w:tc>
          <w:tcPr>
            <w:tcW w:w="1061" w:type="dxa"/>
          </w:tcPr>
          <w:p w14:paraId="40B96C5B" w14:textId="77777777" w:rsidR="00BB6A18" w:rsidRPr="00BA389A" w:rsidRDefault="00BB6A18">
            <w:pPr>
              <w:rPr>
                <w:rFonts w:ascii="Arial" w:hAnsi="Arial" w:cs="Arial"/>
                <w:sz w:val="20"/>
                <w:lang w:val="mi-NZ"/>
              </w:rPr>
            </w:pPr>
          </w:p>
          <w:p w14:paraId="247EB334" w14:textId="77777777" w:rsidR="00BB6A18" w:rsidRPr="00BA389A" w:rsidRDefault="00BB6A18">
            <w:pPr>
              <w:rPr>
                <w:rFonts w:ascii="Arial" w:hAnsi="Arial" w:cs="Arial"/>
                <w:sz w:val="20"/>
                <w:lang w:val="mi-NZ"/>
              </w:rPr>
            </w:pPr>
            <w:r w:rsidRPr="00BA389A">
              <w:rPr>
                <w:rFonts w:ascii="Arial" w:hAnsi="Arial" w:cs="Arial"/>
                <w:sz w:val="20"/>
                <w:lang w:val="mi-NZ"/>
              </w:rPr>
              <w:t>No signficant change</w:t>
            </w:r>
          </w:p>
          <w:p w14:paraId="2BADAB0F" w14:textId="77777777" w:rsidR="00BB6A18" w:rsidRPr="00BA389A" w:rsidRDefault="00BB6A18">
            <w:pPr>
              <w:rPr>
                <w:rFonts w:ascii="Arial" w:hAnsi="Arial" w:cs="Arial"/>
                <w:sz w:val="20"/>
                <w:lang w:val="mi-NZ"/>
              </w:rPr>
            </w:pPr>
          </w:p>
        </w:tc>
      </w:tr>
      <w:tr w:rsidR="00BB6A18" w:rsidRPr="00217844" w14:paraId="7776C41A" w14:textId="77777777">
        <w:tc>
          <w:tcPr>
            <w:tcW w:w="6314" w:type="dxa"/>
          </w:tcPr>
          <w:p w14:paraId="4004B8AF" w14:textId="77777777" w:rsidR="00BB6A18" w:rsidRPr="00BA389A" w:rsidRDefault="00BB6A18">
            <w:pPr>
              <w:rPr>
                <w:rFonts w:ascii="Arial" w:hAnsi="Arial" w:cs="Arial"/>
                <w:color w:val="000000"/>
                <w:sz w:val="20"/>
              </w:rPr>
            </w:pPr>
            <w:r w:rsidRPr="00BA389A">
              <w:rPr>
                <w:rFonts w:ascii="Arial" w:hAnsi="Arial" w:cs="Arial"/>
                <w:color w:val="000000"/>
                <w:sz w:val="20"/>
              </w:rPr>
              <w:t>Table 7.03</w:t>
            </w:r>
          </w:p>
          <w:p w14:paraId="102DDC6E" w14:textId="77777777" w:rsidR="00BB6A18" w:rsidRPr="00BA389A" w:rsidRDefault="00BB6A18">
            <w:pPr>
              <w:rPr>
                <w:rFonts w:ascii="Arial" w:hAnsi="Arial" w:cs="Arial"/>
                <w:color w:val="000000"/>
                <w:sz w:val="20"/>
              </w:rPr>
            </w:pPr>
            <w:r w:rsidRPr="00BA389A">
              <w:rPr>
                <w:rFonts w:ascii="Arial" w:hAnsi="Arial" w:cs="Arial"/>
                <w:color w:val="000000"/>
                <w:sz w:val="20"/>
              </w:rPr>
              <w:t>Percentage of children living in households in New Zealand in each financial year who fell in: Low income: less than 40% median equivalised disposable household income after housing costs (AHC) for the financial year</w:t>
            </w:r>
          </w:p>
          <w:p w14:paraId="4A6E2D0B" w14:textId="77777777" w:rsidR="00BB6A18" w:rsidRPr="00BA389A" w:rsidRDefault="00BB6A18">
            <w:pPr>
              <w:rPr>
                <w:rFonts w:ascii="Arial" w:hAnsi="Arial" w:cs="Arial"/>
                <w:color w:val="000000"/>
                <w:sz w:val="20"/>
              </w:rPr>
            </w:pPr>
          </w:p>
        </w:tc>
        <w:tc>
          <w:tcPr>
            <w:tcW w:w="1132" w:type="dxa"/>
          </w:tcPr>
          <w:p w14:paraId="7FC2EAF7" w14:textId="77777777" w:rsidR="00BB6A18" w:rsidRPr="00BA389A" w:rsidRDefault="00BB6A18">
            <w:pPr>
              <w:rPr>
                <w:rFonts w:ascii="Arial" w:hAnsi="Arial" w:cs="Arial"/>
                <w:sz w:val="20"/>
                <w:lang w:val="mi-NZ"/>
              </w:rPr>
            </w:pPr>
          </w:p>
          <w:p w14:paraId="73BCFC1D" w14:textId="77777777" w:rsidR="00BB6A18" w:rsidRPr="00BA389A" w:rsidRDefault="00BB6A18">
            <w:pPr>
              <w:rPr>
                <w:rFonts w:ascii="Arial" w:hAnsi="Arial" w:cs="Arial"/>
                <w:sz w:val="20"/>
                <w:lang w:val="mi-NZ"/>
              </w:rPr>
            </w:pPr>
            <w:r w:rsidRPr="00BA389A">
              <w:rPr>
                <w:rFonts w:ascii="Arial" w:hAnsi="Arial" w:cs="Arial"/>
                <w:sz w:val="20"/>
                <w:lang w:val="mi-NZ"/>
              </w:rPr>
              <w:t>13.4%</w:t>
            </w:r>
          </w:p>
          <w:p w14:paraId="3420E470" w14:textId="77777777" w:rsidR="00BB6A18" w:rsidRPr="00BA389A" w:rsidRDefault="00BB6A18">
            <w:pPr>
              <w:rPr>
                <w:rFonts w:ascii="Arial" w:hAnsi="Arial" w:cs="Arial"/>
                <w:sz w:val="20"/>
                <w:lang w:val="mi-NZ"/>
              </w:rPr>
            </w:pPr>
          </w:p>
          <w:p w14:paraId="6CE878EC" w14:textId="77777777" w:rsidR="00BB6A18" w:rsidRPr="00BA389A" w:rsidRDefault="00BB6A18">
            <w:pPr>
              <w:rPr>
                <w:rFonts w:ascii="Arial" w:hAnsi="Arial" w:cs="Arial"/>
                <w:sz w:val="20"/>
                <w:lang w:val="mi-NZ"/>
              </w:rPr>
            </w:pPr>
            <w:r w:rsidRPr="00BA389A">
              <w:rPr>
                <w:rFonts w:ascii="Arial" w:hAnsi="Arial" w:cs="Arial"/>
                <w:sz w:val="20"/>
                <w:lang w:val="mi-NZ"/>
              </w:rPr>
              <w:t>40,900</w:t>
            </w:r>
          </w:p>
        </w:tc>
        <w:tc>
          <w:tcPr>
            <w:tcW w:w="1133" w:type="dxa"/>
          </w:tcPr>
          <w:p w14:paraId="2D73E694" w14:textId="77777777" w:rsidR="00BB6A18" w:rsidRPr="00BA389A" w:rsidRDefault="00BB6A18">
            <w:pPr>
              <w:rPr>
                <w:rFonts w:ascii="Arial" w:hAnsi="Arial" w:cs="Arial"/>
                <w:sz w:val="20"/>
                <w:lang w:val="mi-NZ"/>
              </w:rPr>
            </w:pPr>
          </w:p>
          <w:p w14:paraId="52618485" w14:textId="77777777" w:rsidR="00BB6A18" w:rsidRPr="00BA389A" w:rsidRDefault="00BB6A18">
            <w:pPr>
              <w:rPr>
                <w:rFonts w:ascii="Arial" w:hAnsi="Arial" w:cs="Arial"/>
                <w:sz w:val="20"/>
                <w:lang w:val="mi-NZ"/>
              </w:rPr>
            </w:pPr>
            <w:r w:rsidRPr="00BA389A">
              <w:rPr>
                <w:rFonts w:ascii="Arial" w:hAnsi="Arial" w:cs="Arial"/>
                <w:sz w:val="20"/>
                <w:lang w:val="mi-NZ"/>
              </w:rPr>
              <w:t>13.7%</w:t>
            </w:r>
          </w:p>
          <w:p w14:paraId="0225CA79" w14:textId="77777777" w:rsidR="00BB6A18" w:rsidRPr="00BA389A" w:rsidRDefault="00BB6A18">
            <w:pPr>
              <w:rPr>
                <w:rFonts w:ascii="Arial" w:hAnsi="Arial" w:cs="Arial"/>
                <w:sz w:val="20"/>
                <w:lang w:val="mi-NZ"/>
              </w:rPr>
            </w:pPr>
          </w:p>
          <w:p w14:paraId="7ED52380" w14:textId="77777777" w:rsidR="00BB6A18" w:rsidRPr="00BA389A" w:rsidRDefault="00BB6A18">
            <w:pPr>
              <w:rPr>
                <w:rFonts w:ascii="Arial" w:hAnsi="Arial" w:cs="Arial"/>
                <w:sz w:val="20"/>
                <w:lang w:val="mi-NZ"/>
              </w:rPr>
            </w:pPr>
            <w:r w:rsidRPr="00BA389A">
              <w:rPr>
                <w:rFonts w:ascii="Arial" w:hAnsi="Arial" w:cs="Arial"/>
                <w:sz w:val="20"/>
                <w:lang w:val="mi-NZ"/>
              </w:rPr>
              <w:t>40,900</w:t>
            </w:r>
          </w:p>
        </w:tc>
        <w:tc>
          <w:tcPr>
            <w:tcW w:w="1061" w:type="dxa"/>
          </w:tcPr>
          <w:p w14:paraId="51BFD166" w14:textId="77777777" w:rsidR="00BB6A18" w:rsidRPr="00BA389A" w:rsidRDefault="00BB6A18">
            <w:pPr>
              <w:rPr>
                <w:rFonts w:ascii="Arial" w:hAnsi="Arial" w:cs="Arial"/>
                <w:sz w:val="20"/>
                <w:lang w:val="mi-NZ"/>
              </w:rPr>
            </w:pPr>
          </w:p>
          <w:p w14:paraId="46D11630" w14:textId="77777777" w:rsidR="00BB6A18" w:rsidRPr="00BA389A" w:rsidRDefault="00BB6A18">
            <w:pPr>
              <w:rPr>
                <w:rFonts w:ascii="Arial" w:hAnsi="Arial" w:cs="Arial"/>
                <w:sz w:val="20"/>
                <w:lang w:val="mi-NZ"/>
              </w:rPr>
            </w:pPr>
            <w:r w:rsidRPr="00BA389A">
              <w:rPr>
                <w:rFonts w:ascii="Arial" w:hAnsi="Arial" w:cs="Arial"/>
                <w:sz w:val="20"/>
                <w:lang w:val="mi-NZ"/>
              </w:rPr>
              <w:t>No signficant change</w:t>
            </w:r>
          </w:p>
          <w:p w14:paraId="5E4D0B00" w14:textId="77777777" w:rsidR="00BB6A18" w:rsidRPr="00BA389A" w:rsidRDefault="00BB6A18">
            <w:pPr>
              <w:rPr>
                <w:rFonts w:ascii="Arial" w:hAnsi="Arial" w:cs="Arial"/>
                <w:sz w:val="20"/>
                <w:lang w:val="mi-NZ"/>
              </w:rPr>
            </w:pPr>
          </w:p>
          <w:p w14:paraId="4CABD77D" w14:textId="77777777" w:rsidR="00BB6A18" w:rsidRPr="00BA389A" w:rsidRDefault="00BB6A18">
            <w:pPr>
              <w:rPr>
                <w:rFonts w:ascii="Arial" w:hAnsi="Arial" w:cs="Arial"/>
                <w:sz w:val="20"/>
                <w:lang w:val="mi-NZ"/>
              </w:rPr>
            </w:pPr>
          </w:p>
        </w:tc>
      </w:tr>
      <w:tr w:rsidR="00BB6A18" w:rsidRPr="00217844" w14:paraId="1D1B11C1" w14:textId="77777777">
        <w:tc>
          <w:tcPr>
            <w:tcW w:w="6314" w:type="dxa"/>
          </w:tcPr>
          <w:p w14:paraId="224E16A7" w14:textId="77777777" w:rsidR="00BB6A18" w:rsidRPr="00BA389A" w:rsidRDefault="00BB6A18">
            <w:pPr>
              <w:rPr>
                <w:rFonts w:ascii="Arial" w:hAnsi="Arial" w:cs="Arial"/>
                <w:color w:val="000000"/>
                <w:sz w:val="20"/>
              </w:rPr>
            </w:pPr>
            <w:r w:rsidRPr="00BA389A">
              <w:rPr>
                <w:rFonts w:ascii="Arial" w:hAnsi="Arial" w:cs="Arial"/>
                <w:color w:val="000000"/>
                <w:sz w:val="20"/>
              </w:rPr>
              <w:t>Table 8.03</w:t>
            </w:r>
          </w:p>
          <w:p w14:paraId="28C7CC3A" w14:textId="77777777" w:rsidR="00BB6A18" w:rsidRPr="00BA389A" w:rsidRDefault="00BB6A18">
            <w:pPr>
              <w:rPr>
                <w:rFonts w:ascii="Arial" w:hAnsi="Arial" w:cs="Arial"/>
                <w:color w:val="000000"/>
                <w:sz w:val="20"/>
              </w:rPr>
            </w:pPr>
            <w:r w:rsidRPr="00BA389A">
              <w:rPr>
                <w:rFonts w:ascii="Arial" w:hAnsi="Arial" w:cs="Arial"/>
                <w:color w:val="000000"/>
                <w:sz w:val="20"/>
              </w:rPr>
              <w:t xml:space="preserve">Percentage of children living in households in New Zealand in each financial year who fell in: Severe material </w:t>
            </w:r>
            <w:proofErr w:type="gramStart"/>
            <w:r w:rsidRPr="00BA389A">
              <w:rPr>
                <w:rFonts w:ascii="Arial" w:hAnsi="Arial" w:cs="Arial"/>
                <w:color w:val="000000"/>
                <w:sz w:val="20"/>
              </w:rPr>
              <w:t>hardship</w:t>
            </w:r>
            <w:r w:rsidRPr="00BA389A">
              <w:rPr>
                <w:rFonts w:ascii="Arial" w:hAnsi="Arial" w:cs="Arial"/>
                <w:color w:val="000000"/>
                <w:sz w:val="20"/>
                <w:vertAlign w:val="superscript"/>
              </w:rPr>
              <w:t>(</w:t>
            </w:r>
            <w:proofErr w:type="gramEnd"/>
            <w:r w:rsidRPr="00BA389A">
              <w:rPr>
                <w:rFonts w:ascii="Arial" w:hAnsi="Arial" w:cs="Arial"/>
                <w:color w:val="000000"/>
                <w:sz w:val="20"/>
                <w:vertAlign w:val="superscript"/>
              </w:rPr>
              <w:t>1)</w:t>
            </w:r>
          </w:p>
          <w:p w14:paraId="13F29275" w14:textId="77777777" w:rsidR="00BB6A18" w:rsidRPr="00BA389A" w:rsidRDefault="00BB6A18">
            <w:pPr>
              <w:rPr>
                <w:rFonts w:ascii="Arial" w:hAnsi="Arial" w:cs="Arial"/>
                <w:color w:val="000000"/>
                <w:sz w:val="20"/>
              </w:rPr>
            </w:pPr>
          </w:p>
        </w:tc>
        <w:tc>
          <w:tcPr>
            <w:tcW w:w="1132" w:type="dxa"/>
          </w:tcPr>
          <w:p w14:paraId="5BE94D9F" w14:textId="77777777" w:rsidR="00BB6A18" w:rsidRPr="00BA389A" w:rsidRDefault="00BB6A18">
            <w:pPr>
              <w:rPr>
                <w:rFonts w:ascii="Arial" w:hAnsi="Arial" w:cs="Arial"/>
                <w:sz w:val="20"/>
                <w:lang w:val="mi-NZ"/>
              </w:rPr>
            </w:pPr>
          </w:p>
          <w:p w14:paraId="2053B2AB" w14:textId="77777777" w:rsidR="00BB6A18" w:rsidRPr="00BA389A" w:rsidRDefault="00BB6A18">
            <w:pPr>
              <w:rPr>
                <w:rFonts w:ascii="Arial" w:hAnsi="Arial" w:cs="Arial"/>
                <w:sz w:val="20"/>
                <w:lang w:val="mi-NZ"/>
              </w:rPr>
            </w:pPr>
            <w:r w:rsidRPr="00BA389A">
              <w:rPr>
                <w:rFonts w:ascii="Arial" w:hAnsi="Arial" w:cs="Arial"/>
                <w:sz w:val="20"/>
                <w:lang w:val="mi-NZ"/>
              </w:rPr>
              <w:t>12.2%</w:t>
            </w:r>
          </w:p>
          <w:p w14:paraId="45F9FECC" w14:textId="77777777" w:rsidR="00BB6A18" w:rsidRPr="00BA389A" w:rsidRDefault="00BB6A18">
            <w:pPr>
              <w:rPr>
                <w:rFonts w:ascii="Arial" w:hAnsi="Arial" w:cs="Arial"/>
                <w:sz w:val="20"/>
                <w:lang w:val="mi-NZ"/>
              </w:rPr>
            </w:pPr>
          </w:p>
          <w:p w14:paraId="22B0A630" w14:textId="77777777" w:rsidR="00BB6A18" w:rsidRPr="00BA389A" w:rsidRDefault="00BB6A18">
            <w:pPr>
              <w:rPr>
                <w:rFonts w:ascii="Arial" w:hAnsi="Arial" w:cs="Arial"/>
                <w:sz w:val="20"/>
                <w:lang w:val="mi-NZ"/>
              </w:rPr>
            </w:pPr>
            <w:r w:rsidRPr="00BA389A">
              <w:rPr>
                <w:rFonts w:ascii="Arial" w:hAnsi="Arial" w:cs="Arial"/>
                <w:sz w:val="20"/>
                <w:lang w:val="mi-NZ"/>
              </w:rPr>
              <w:t>37,300</w:t>
            </w:r>
          </w:p>
        </w:tc>
        <w:tc>
          <w:tcPr>
            <w:tcW w:w="1133" w:type="dxa"/>
          </w:tcPr>
          <w:p w14:paraId="6DE43D40" w14:textId="77777777" w:rsidR="00BB6A18" w:rsidRPr="00BA389A" w:rsidRDefault="00BB6A18">
            <w:pPr>
              <w:rPr>
                <w:rFonts w:ascii="Arial" w:hAnsi="Arial" w:cs="Arial"/>
                <w:sz w:val="20"/>
                <w:lang w:val="mi-NZ"/>
              </w:rPr>
            </w:pPr>
          </w:p>
          <w:p w14:paraId="680EBAD5" w14:textId="77777777" w:rsidR="00BB6A18" w:rsidRPr="00BA389A" w:rsidRDefault="00BB6A18">
            <w:pPr>
              <w:rPr>
                <w:rFonts w:ascii="Arial" w:hAnsi="Arial" w:cs="Arial"/>
                <w:sz w:val="20"/>
                <w:lang w:val="mi-NZ"/>
              </w:rPr>
            </w:pPr>
            <w:r w:rsidRPr="00BA389A">
              <w:rPr>
                <w:rFonts w:ascii="Arial" w:hAnsi="Arial" w:cs="Arial"/>
                <w:sz w:val="20"/>
                <w:lang w:val="mi-NZ"/>
              </w:rPr>
              <w:t>11.4%</w:t>
            </w:r>
          </w:p>
          <w:p w14:paraId="18225D84" w14:textId="77777777" w:rsidR="00BB6A18" w:rsidRPr="00BA389A" w:rsidRDefault="00BB6A18">
            <w:pPr>
              <w:rPr>
                <w:rFonts w:ascii="Arial" w:hAnsi="Arial" w:cs="Arial"/>
                <w:sz w:val="20"/>
                <w:lang w:val="mi-NZ"/>
              </w:rPr>
            </w:pPr>
          </w:p>
          <w:p w14:paraId="796A4626" w14:textId="77777777" w:rsidR="00BB6A18" w:rsidRPr="00BA389A" w:rsidRDefault="00BB6A18">
            <w:pPr>
              <w:rPr>
                <w:rFonts w:ascii="Arial" w:hAnsi="Arial" w:cs="Arial"/>
                <w:sz w:val="20"/>
                <w:lang w:val="mi-NZ"/>
              </w:rPr>
            </w:pPr>
            <w:r w:rsidRPr="00BA389A">
              <w:rPr>
                <w:rFonts w:ascii="Arial" w:hAnsi="Arial" w:cs="Arial"/>
                <w:sz w:val="20"/>
                <w:lang w:val="mi-NZ"/>
              </w:rPr>
              <w:t>32,800</w:t>
            </w:r>
          </w:p>
        </w:tc>
        <w:tc>
          <w:tcPr>
            <w:tcW w:w="1061" w:type="dxa"/>
          </w:tcPr>
          <w:p w14:paraId="7D121EA8" w14:textId="77777777" w:rsidR="00BB6A18" w:rsidRPr="00BA389A" w:rsidRDefault="00BB6A18">
            <w:pPr>
              <w:rPr>
                <w:rFonts w:ascii="Arial" w:hAnsi="Arial" w:cs="Arial"/>
                <w:sz w:val="20"/>
                <w:lang w:val="mi-NZ"/>
              </w:rPr>
            </w:pPr>
          </w:p>
          <w:p w14:paraId="3B2F00CD" w14:textId="77777777" w:rsidR="00BB6A18" w:rsidRPr="00BA389A" w:rsidRDefault="00BB6A18">
            <w:pPr>
              <w:rPr>
                <w:rFonts w:ascii="Arial" w:hAnsi="Arial" w:cs="Arial"/>
                <w:sz w:val="20"/>
                <w:lang w:val="mi-NZ"/>
              </w:rPr>
            </w:pPr>
            <w:r w:rsidRPr="00BA389A">
              <w:rPr>
                <w:rFonts w:ascii="Arial" w:hAnsi="Arial" w:cs="Arial"/>
                <w:sz w:val="20"/>
                <w:lang w:val="mi-NZ"/>
              </w:rPr>
              <w:t>No signficant change</w:t>
            </w:r>
          </w:p>
          <w:p w14:paraId="153E965C" w14:textId="77777777" w:rsidR="00BB6A18" w:rsidRPr="00BA389A" w:rsidRDefault="00BB6A18">
            <w:pPr>
              <w:rPr>
                <w:rFonts w:ascii="Arial" w:hAnsi="Arial" w:cs="Arial"/>
                <w:sz w:val="20"/>
                <w:lang w:val="mi-NZ"/>
              </w:rPr>
            </w:pPr>
          </w:p>
        </w:tc>
      </w:tr>
      <w:tr w:rsidR="00BB6A18" w:rsidRPr="00217844" w14:paraId="09D2CC74" w14:textId="77777777">
        <w:tc>
          <w:tcPr>
            <w:tcW w:w="6314" w:type="dxa"/>
          </w:tcPr>
          <w:p w14:paraId="3284D3C9" w14:textId="77777777" w:rsidR="00BB6A18" w:rsidRPr="00BA389A" w:rsidRDefault="00BB6A18">
            <w:pPr>
              <w:rPr>
                <w:rFonts w:ascii="Arial" w:hAnsi="Arial" w:cs="Arial"/>
                <w:color w:val="000000"/>
                <w:sz w:val="20"/>
              </w:rPr>
            </w:pPr>
            <w:r w:rsidRPr="00BA389A">
              <w:rPr>
                <w:rFonts w:ascii="Arial" w:hAnsi="Arial" w:cs="Arial"/>
                <w:color w:val="000000"/>
                <w:sz w:val="20"/>
              </w:rPr>
              <w:t>Table 9.03</w:t>
            </w:r>
          </w:p>
          <w:p w14:paraId="2CBD821D" w14:textId="77777777" w:rsidR="00BB6A18" w:rsidRPr="00BA389A" w:rsidRDefault="00BB6A18">
            <w:pPr>
              <w:rPr>
                <w:rFonts w:ascii="Arial" w:hAnsi="Arial" w:cs="Arial"/>
                <w:color w:val="000000"/>
                <w:sz w:val="20"/>
              </w:rPr>
            </w:pPr>
            <w:r w:rsidRPr="00BA389A">
              <w:rPr>
                <w:rFonts w:ascii="Arial" w:hAnsi="Arial" w:cs="Arial"/>
                <w:color w:val="000000"/>
                <w:sz w:val="20"/>
              </w:rPr>
              <w:t xml:space="preserve">Percentage of children living in households in New Zealand in each financial year who fell in: Low income and hardship: less than 60% median equivalised disposable household income after housing costs (AHC) for the financial year and material </w:t>
            </w:r>
            <w:proofErr w:type="gramStart"/>
            <w:r w:rsidRPr="00BA389A">
              <w:rPr>
                <w:rFonts w:ascii="Arial" w:hAnsi="Arial" w:cs="Arial"/>
                <w:color w:val="000000"/>
                <w:sz w:val="20"/>
              </w:rPr>
              <w:t>hardship</w:t>
            </w:r>
            <w:r w:rsidRPr="00BA389A">
              <w:rPr>
                <w:rFonts w:ascii="Arial" w:hAnsi="Arial" w:cs="Arial"/>
                <w:color w:val="000000"/>
                <w:sz w:val="20"/>
                <w:vertAlign w:val="superscript"/>
              </w:rPr>
              <w:t>(</w:t>
            </w:r>
            <w:proofErr w:type="gramEnd"/>
            <w:r w:rsidRPr="00BA389A">
              <w:rPr>
                <w:rFonts w:ascii="Arial" w:hAnsi="Arial" w:cs="Arial"/>
                <w:color w:val="000000"/>
                <w:sz w:val="20"/>
                <w:vertAlign w:val="superscript"/>
              </w:rPr>
              <w:t>1)</w:t>
            </w:r>
          </w:p>
        </w:tc>
        <w:tc>
          <w:tcPr>
            <w:tcW w:w="1132" w:type="dxa"/>
          </w:tcPr>
          <w:p w14:paraId="7D355FEF" w14:textId="77777777" w:rsidR="00BB6A18" w:rsidRPr="00BA389A" w:rsidRDefault="00BB6A18">
            <w:pPr>
              <w:rPr>
                <w:rFonts w:ascii="Arial" w:hAnsi="Arial" w:cs="Arial"/>
                <w:sz w:val="20"/>
                <w:lang w:val="mi-NZ"/>
              </w:rPr>
            </w:pPr>
          </w:p>
          <w:p w14:paraId="03AE4605" w14:textId="77777777" w:rsidR="00BB6A18" w:rsidRPr="00BA389A" w:rsidRDefault="00BB6A18">
            <w:pPr>
              <w:rPr>
                <w:rFonts w:ascii="Arial" w:hAnsi="Arial" w:cs="Arial"/>
                <w:sz w:val="20"/>
                <w:lang w:val="mi-NZ"/>
              </w:rPr>
            </w:pPr>
            <w:r w:rsidRPr="00BA389A">
              <w:rPr>
                <w:rFonts w:ascii="Arial" w:hAnsi="Arial" w:cs="Arial"/>
                <w:sz w:val="20"/>
                <w:lang w:val="mi-NZ"/>
              </w:rPr>
              <w:t>15.1%</w:t>
            </w:r>
          </w:p>
          <w:p w14:paraId="4FC0DA66" w14:textId="77777777" w:rsidR="00BB6A18" w:rsidRPr="00BA389A" w:rsidRDefault="00BB6A18">
            <w:pPr>
              <w:rPr>
                <w:rFonts w:ascii="Arial" w:hAnsi="Arial" w:cs="Arial"/>
                <w:sz w:val="20"/>
                <w:lang w:val="mi-NZ"/>
              </w:rPr>
            </w:pPr>
          </w:p>
          <w:p w14:paraId="348757D1" w14:textId="77777777" w:rsidR="00BB6A18" w:rsidRPr="00BA389A" w:rsidRDefault="00BB6A18">
            <w:pPr>
              <w:rPr>
                <w:rFonts w:ascii="Arial" w:hAnsi="Arial" w:cs="Arial"/>
                <w:sz w:val="20"/>
                <w:lang w:val="mi-NZ"/>
              </w:rPr>
            </w:pPr>
            <w:r w:rsidRPr="00BA389A">
              <w:rPr>
                <w:rFonts w:ascii="Arial" w:hAnsi="Arial" w:cs="Arial"/>
                <w:sz w:val="20"/>
                <w:lang w:val="mi-NZ"/>
              </w:rPr>
              <w:t>46,200</w:t>
            </w:r>
          </w:p>
        </w:tc>
        <w:tc>
          <w:tcPr>
            <w:tcW w:w="1133" w:type="dxa"/>
          </w:tcPr>
          <w:p w14:paraId="4740C1D2" w14:textId="77777777" w:rsidR="00BB6A18" w:rsidRPr="00BA389A" w:rsidRDefault="00BB6A18">
            <w:pPr>
              <w:rPr>
                <w:rFonts w:ascii="Arial" w:hAnsi="Arial" w:cs="Arial"/>
                <w:sz w:val="20"/>
                <w:lang w:val="mi-NZ"/>
              </w:rPr>
            </w:pPr>
          </w:p>
          <w:p w14:paraId="1A58676A" w14:textId="77777777" w:rsidR="00BB6A18" w:rsidRPr="00BA389A" w:rsidRDefault="00BB6A18">
            <w:pPr>
              <w:rPr>
                <w:rFonts w:ascii="Arial" w:hAnsi="Arial" w:cs="Arial"/>
                <w:sz w:val="20"/>
                <w:lang w:val="mi-NZ"/>
              </w:rPr>
            </w:pPr>
            <w:r w:rsidRPr="00BA389A">
              <w:rPr>
                <w:rFonts w:ascii="Arial" w:hAnsi="Arial" w:cs="Arial"/>
                <w:sz w:val="20"/>
                <w:lang w:val="mi-NZ"/>
              </w:rPr>
              <w:t>13.9%</w:t>
            </w:r>
          </w:p>
          <w:p w14:paraId="4C8403FB" w14:textId="77777777" w:rsidR="00BB6A18" w:rsidRPr="00BA389A" w:rsidRDefault="00BB6A18">
            <w:pPr>
              <w:rPr>
                <w:rFonts w:ascii="Arial" w:hAnsi="Arial" w:cs="Arial"/>
                <w:sz w:val="20"/>
                <w:lang w:val="mi-NZ"/>
              </w:rPr>
            </w:pPr>
          </w:p>
          <w:p w14:paraId="7F99900B" w14:textId="77777777" w:rsidR="00BB6A18" w:rsidRPr="00BA389A" w:rsidRDefault="00BB6A18">
            <w:pPr>
              <w:rPr>
                <w:rFonts w:ascii="Arial" w:hAnsi="Arial" w:cs="Arial"/>
                <w:sz w:val="20"/>
                <w:lang w:val="mi-NZ"/>
              </w:rPr>
            </w:pPr>
            <w:r w:rsidRPr="00BA389A">
              <w:rPr>
                <w:rFonts w:ascii="Arial" w:hAnsi="Arial" w:cs="Arial"/>
                <w:sz w:val="20"/>
                <w:lang w:val="mi-NZ"/>
              </w:rPr>
              <w:t>41,300</w:t>
            </w:r>
          </w:p>
        </w:tc>
        <w:tc>
          <w:tcPr>
            <w:tcW w:w="1061" w:type="dxa"/>
          </w:tcPr>
          <w:p w14:paraId="4137EA5C" w14:textId="77777777" w:rsidR="00BB6A18" w:rsidRPr="00BA389A" w:rsidRDefault="00BB6A18">
            <w:pPr>
              <w:rPr>
                <w:rFonts w:ascii="Arial" w:hAnsi="Arial" w:cs="Arial"/>
                <w:sz w:val="20"/>
                <w:lang w:val="mi-NZ"/>
              </w:rPr>
            </w:pPr>
          </w:p>
          <w:p w14:paraId="1926A8B6" w14:textId="77777777" w:rsidR="00BB6A18" w:rsidRPr="00BA389A" w:rsidRDefault="00BB6A18">
            <w:pPr>
              <w:rPr>
                <w:rFonts w:ascii="Arial" w:hAnsi="Arial" w:cs="Arial"/>
                <w:sz w:val="20"/>
                <w:lang w:val="mi-NZ"/>
              </w:rPr>
            </w:pPr>
            <w:r w:rsidRPr="00BA389A">
              <w:rPr>
                <w:rFonts w:ascii="Arial" w:hAnsi="Arial" w:cs="Arial"/>
                <w:noProof/>
                <w:sz w:val="20"/>
                <w:lang w:eastAsia="en-NZ"/>
              </w:rPr>
              <mc:AlternateContent>
                <mc:Choice Requires="wps">
                  <w:drawing>
                    <wp:anchor distT="0" distB="0" distL="114300" distR="114300" simplePos="0" relativeHeight="251658245" behindDoc="0" locked="0" layoutInCell="1" allowOverlap="1" wp14:anchorId="76FA374F" wp14:editId="7828C23D">
                      <wp:simplePos x="0" y="0"/>
                      <wp:positionH relativeFrom="column">
                        <wp:posOffset>612685</wp:posOffset>
                      </wp:positionH>
                      <wp:positionV relativeFrom="paragraph">
                        <wp:posOffset>66106</wp:posOffset>
                      </wp:positionV>
                      <wp:extent cx="171450" cy="333375"/>
                      <wp:effectExtent l="19050" t="19050" r="38100" b="28575"/>
                      <wp:wrapNone/>
                      <wp:docPr id="194099541" name="Arrow: Up 521774920"/>
                      <wp:cNvGraphicFramePr/>
                      <a:graphic xmlns:a="http://schemas.openxmlformats.org/drawingml/2006/main">
                        <a:graphicData uri="http://schemas.microsoft.com/office/word/2010/wordprocessingShape">
                          <wps:wsp>
                            <wps:cNvSpPr/>
                            <wps:spPr>
                              <a:xfrm>
                                <a:off x="0" y="0"/>
                                <a:ext cx="171450" cy="333375"/>
                              </a:xfrm>
                              <a:prstGeom prst="up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4A5D0DA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521774920" o:spid="_x0000_s1026" type="#_x0000_t68" style="position:absolute;margin-left:48.25pt;margin-top:5.2pt;width:13.5pt;height:26.25pt;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" adj="5554" fillcolor="red" strokecolor="#243f60 [1604]" strokeweight="2pt"/>
                  </w:pict>
                </mc:Fallback>
              </mc:AlternateContent>
            </w:r>
            <w:r w:rsidRPr="00BA389A">
              <w:rPr>
                <w:rFonts w:ascii="Arial" w:hAnsi="Arial" w:cs="Arial"/>
                <w:sz w:val="20"/>
                <w:lang w:val="mi-NZ"/>
              </w:rPr>
              <w:t xml:space="preserve">Up 1.2 percentile points </w:t>
            </w:r>
          </w:p>
          <w:p w14:paraId="7B23070F" w14:textId="77777777" w:rsidR="00BB6A18" w:rsidRPr="00BA389A" w:rsidRDefault="00BB6A18">
            <w:pPr>
              <w:rPr>
                <w:rFonts w:ascii="Arial" w:hAnsi="Arial" w:cs="Arial"/>
                <w:sz w:val="20"/>
                <w:lang w:val="mi-NZ"/>
              </w:rPr>
            </w:pPr>
          </w:p>
        </w:tc>
      </w:tr>
    </w:tbl>
    <w:p w14:paraId="7A1C50C4" w14:textId="77777777" w:rsidR="00FA37BF" w:rsidRDefault="00FA37BF" w:rsidP="00512709">
      <w:pPr>
        <w:pStyle w:val="BodyText"/>
        <w:suppressAutoHyphens w:val="0"/>
        <w:rPr>
          <w:rFonts w:cs="Arial"/>
          <w:b/>
          <w:szCs w:val="24"/>
        </w:rPr>
      </w:pPr>
    </w:p>
    <w:tbl>
      <w:tblPr>
        <w:tblStyle w:val="TableGrid"/>
        <w:tblW w:w="0" w:type="auto"/>
        <w:tblInd w:w="-856" w:type="dxa"/>
        <w:tblLook w:val="04A0" w:firstRow="1" w:lastRow="0" w:firstColumn="1" w:lastColumn="0" w:noHBand="0" w:noVBand="1"/>
      </w:tblPr>
      <w:tblGrid>
        <w:gridCol w:w="1819"/>
        <w:gridCol w:w="1525"/>
        <w:gridCol w:w="6337"/>
      </w:tblGrid>
      <w:tr w:rsidR="00BB6A18" w:rsidRPr="00C55ADB" w14:paraId="681ECB22" w14:textId="77777777" w:rsidTr="003714D2">
        <w:trPr>
          <w:trHeight w:val="454"/>
        </w:trPr>
        <w:tc>
          <w:tcPr>
            <w:tcW w:w="1819" w:type="dxa"/>
            <w:vMerge w:val="restart"/>
          </w:tcPr>
          <w:p w14:paraId="144B7AB3" w14:textId="5C18E8BE" w:rsidR="00BB6A18" w:rsidRPr="00C55ADB" w:rsidRDefault="00BB6A18">
            <w:pPr>
              <w:suppressAutoHyphens w:val="0"/>
              <w:spacing w:before="120"/>
              <w:rPr>
                <w:rFonts w:ascii="Arial" w:hAnsi="Arial" w:cs="Arial"/>
                <w:b/>
                <w:sz w:val="22"/>
                <w:szCs w:val="22"/>
              </w:rPr>
            </w:pPr>
            <w:r w:rsidRPr="00C55ADB">
              <w:rPr>
                <w:rFonts w:ascii="Arial" w:hAnsi="Arial" w:cs="Arial"/>
                <w:b/>
                <w:sz w:val="22"/>
                <w:szCs w:val="22"/>
              </w:rPr>
              <w:t>Social Wel</w:t>
            </w:r>
            <w:r w:rsidR="00BD7B1D" w:rsidRPr="00C55ADB">
              <w:rPr>
                <w:rFonts w:ascii="Arial" w:hAnsi="Arial" w:cs="Arial"/>
                <w:b/>
                <w:sz w:val="22"/>
                <w:szCs w:val="22"/>
              </w:rPr>
              <w:t>lbeing</w:t>
            </w:r>
          </w:p>
          <w:p w14:paraId="2EAEE82A" w14:textId="77777777" w:rsidR="00BB6A18" w:rsidRPr="00C55ADB" w:rsidRDefault="00BB6A18">
            <w:pPr>
              <w:suppressAutoHyphens w:val="0"/>
              <w:rPr>
                <w:rFonts w:ascii="Arial" w:hAnsi="Arial" w:cs="Arial"/>
                <w:b/>
                <w:sz w:val="22"/>
                <w:szCs w:val="22"/>
              </w:rPr>
            </w:pPr>
          </w:p>
          <w:p w14:paraId="070D6383" w14:textId="77777777" w:rsidR="00BB6A18" w:rsidRPr="00C55ADB" w:rsidRDefault="00BB6A18">
            <w:pPr>
              <w:rPr>
                <w:rFonts w:ascii="Arial" w:hAnsi="Arial" w:cs="Arial"/>
                <w:b/>
                <w:sz w:val="22"/>
                <w:szCs w:val="22"/>
              </w:rPr>
            </w:pPr>
            <w:r w:rsidRPr="00C55ADB">
              <w:rPr>
                <w:rFonts w:ascii="Arial" w:hAnsi="Arial" w:cs="Arial"/>
                <w:b/>
                <w:sz w:val="22"/>
                <w:szCs w:val="22"/>
              </w:rPr>
              <w:t>Pānui 06/2026</w:t>
            </w:r>
          </w:p>
        </w:tc>
        <w:tc>
          <w:tcPr>
            <w:tcW w:w="1525" w:type="dxa"/>
          </w:tcPr>
          <w:p w14:paraId="27AF3A4F" w14:textId="77777777" w:rsidR="00BB6A18" w:rsidRPr="00C55ADB" w:rsidRDefault="00BB6A18">
            <w:pPr>
              <w:suppressAutoHyphens w:val="0"/>
              <w:spacing w:before="120" w:after="120"/>
              <w:rPr>
                <w:rFonts w:ascii="Arial" w:hAnsi="Arial" w:cs="Arial"/>
                <w:i/>
                <w:sz w:val="22"/>
                <w:szCs w:val="22"/>
              </w:rPr>
            </w:pPr>
            <w:r w:rsidRPr="00C55ADB">
              <w:rPr>
                <w:rFonts w:ascii="Arial" w:hAnsi="Arial" w:cs="Arial"/>
                <w:b/>
                <w:sz w:val="22"/>
                <w:szCs w:val="22"/>
              </w:rPr>
              <w:t>Item:</w:t>
            </w:r>
          </w:p>
        </w:tc>
        <w:tc>
          <w:tcPr>
            <w:tcW w:w="6337" w:type="dxa"/>
          </w:tcPr>
          <w:p w14:paraId="085CB880" w14:textId="77777777" w:rsidR="00BB6A18" w:rsidRPr="00C55ADB" w:rsidRDefault="00BB6A18">
            <w:pPr>
              <w:pStyle w:val="BodyText"/>
              <w:spacing w:before="120"/>
              <w:rPr>
                <w:rFonts w:cs="Arial"/>
                <w:sz w:val="22"/>
                <w:szCs w:val="22"/>
              </w:rPr>
            </w:pPr>
            <w:r w:rsidRPr="00C55ADB">
              <w:rPr>
                <w:rFonts w:cs="Arial"/>
                <w:b/>
                <w:sz w:val="22"/>
                <w:szCs w:val="22"/>
              </w:rPr>
              <w:t>Experiences of Care in Aotearoa Agency Compliance with the National Care Standards and Related Matters Regulations: 1 July 2024 – 30 June 2025</w:t>
            </w:r>
          </w:p>
        </w:tc>
      </w:tr>
      <w:tr w:rsidR="00BB6A18" w:rsidRPr="00C55ADB" w14:paraId="185E6FAB" w14:textId="77777777" w:rsidTr="003714D2">
        <w:trPr>
          <w:trHeight w:val="454"/>
        </w:trPr>
        <w:tc>
          <w:tcPr>
            <w:tcW w:w="1819" w:type="dxa"/>
            <w:vMerge/>
          </w:tcPr>
          <w:p w14:paraId="0063BFE1" w14:textId="77777777" w:rsidR="00BB6A18" w:rsidRPr="00C55ADB" w:rsidRDefault="00BB6A18">
            <w:pPr>
              <w:rPr>
                <w:rFonts w:ascii="Arial" w:hAnsi="Arial" w:cs="Arial"/>
                <w:b/>
                <w:sz w:val="22"/>
                <w:szCs w:val="22"/>
              </w:rPr>
            </w:pPr>
          </w:p>
        </w:tc>
        <w:tc>
          <w:tcPr>
            <w:tcW w:w="1525" w:type="dxa"/>
          </w:tcPr>
          <w:p w14:paraId="0DC4DD21" w14:textId="77777777" w:rsidR="00BB6A18" w:rsidRPr="00C55ADB" w:rsidRDefault="00BB6A18">
            <w:pPr>
              <w:suppressAutoHyphens w:val="0"/>
              <w:spacing w:before="120" w:after="120"/>
              <w:rPr>
                <w:rFonts w:ascii="Arial" w:hAnsi="Arial" w:cs="Arial"/>
                <w:i/>
                <w:sz w:val="22"/>
                <w:szCs w:val="22"/>
              </w:rPr>
            </w:pPr>
            <w:r w:rsidRPr="00C55ADB">
              <w:rPr>
                <w:rFonts w:ascii="Arial" w:hAnsi="Arial" w:cs="Arial"/>
                <w:sz w:val="22"/>
                <w:szCs w:val="22"/>
              </w:rPr>
              <w:t>Publisher:</w:t>
            </w:r>
          </w:p>
        </w:tc>
        <w:tc>
          <w:tcPr>
            <w:tcW w:w="6337" w:type="dxa"/>
          </w:tcPr>
          <w:p w14:paraId="5463EBEB" w14:textId="77777777" w:rsidR="00BB6A18" w:rsidRPr="00C55ADB" w:rsidRDefault="00BB6A18">
            <w:pPr>
              <w:pStyle w:val="BodyText"/>
              <w:spacing w:before="120"/>
              <w:rPr>
                <w:rFonts w:cs="Arial"/>
                <w:sz w:val="22"/>
                <w:szCs w:val="22"/>
              </w:rPr>
            </w:pPr>
            <w:r w:rsidRPr="00C55ADB">
              <w:rPr>
                <w:rFonts w:cs="Arial"/>
                <w:sz w:val="22"/>
                <w:szCs w:val="22"/>
              </w:rPr>
              <w:t xml:space="preserve">Independent Children’s Monitor: </w:t>
            </w:r>
            <w:proofErr w:type="spellStart"/>
            <w:r w:rsidRPr="00C55ADB">
              <w:rPr>
                <w:rFonts w:cs="Arial"/>
                <w:sz w:val="22"/>
                <w:szCs w:val="22"/>
              </w:rPr>
              <w:t>Aroturuki</w:t>
            </w:r>
            <w:proofErr w:type="spellEnd"/>
            <w:r w:rsidRPr="00C55ADB">
              <w:rPr>
                <w:rFonts w:cs="Arial"/>
                <w:sz w:val="22"/>
                <w:szCs w:val="22"/>
              </w:rPr>
              <w:t xml:space="preserve"> Tamariki (March 2026)</w:t>
            </w:r>
          </w:p>
        </w:tc>
      </w:tr>
      <w:tr w:rsidR="00BB6A18" w:rsidRPr="00C55ADB" w14:paraId="4456DC2B" w14:textId="77777777" w:rsidTr="003714D2">
        <w:trPr>
          <w:trHeight w:val="454"/>
        </w:trPr>
        <w:tc>
          <w:tcPr>
            <w:tcW w:w="1819" w:type="dxa"/>
            <w:vMerge/>
          </w:tcPr>
          <w:p w14:paraId="79EEC23E" w14:textId="77777777" w:rsidR="00BB6A18" w:rsidRPr="00C55ADB" w:rsidRDefault="00BB6A18">
            <w:pPr>
              <w:suppressAutoHyphens w:val="0"/>
              <w:rPr>
                <w:rFonts w:ascii="Arial" w:hAnsi="Arial" w:cs="Arial"/>
                <w:b/>
                <w:sz w:val="22"/>
                <w:szCs w:val="22"/>
              </w:rPr>
            </w:pPr>
          </w:p>
        </w:tc>
        <w:tc>
          <w:tcPr>
            <w:tcW w:w="1525" w:type="dxa"/>
          </w:tcPr>
          <w:p w14:paraId="579EBD88" w14:textId="77777777" w:rsidR="00BB6A18" w:rsidRPr="00C55ADB" w:rsidRDefault="00BB6A18">
            <w:pPr>
              <w:suppressAutoHyphens w:val="0"/>
              <w:spacing w:before="120" w:after="120"/>
              <w:rPr>
                <w:rFonts w:ascii="Arial" w:hAnsi="Arial" w:cs="Arial"/>
                <w:i/>
                <w:sz w:val="22"/>
                <w:szCs w:val="22"/>
              </w:rPr>
            </w:pPr>
            <w:r w:rsidRPr="00C55ADB">
              <w:rPr>
                <w:rFonts w:ascii="Arial" w:hAnsi="Arial" w:cs="Arial"/>
                <w:sz w:val="22"/>
                <w:szCs w:val="22"/>
              </w:rPr>
              <w:t>Content summary:</w:t>
            </w:r>
          </w:p>
        </w:tc>
        <w:tc>
          <w:tcPr>
            <w:tcW w:w="6337" w:type="dxa"/>
          </w:tcPr>
          <w:p w14:paraId="7FD9F1BB" w14:textId="77777777" w:rsidR="00BB6A18" w:rsidRPr="00C55ADB" w:rsidRDefault="00BB6A18">
            <w:pPr>
              <w:suppressAutoHyphens w:val="0"/>
              <w:spacing w:before="120" w:after="120"/>
              <w:rPr>
                <w:rFonts w:ascii="Arial" w:hAnsi="Arial" w:cs="Arial"/>
                <w:bCs/>
                <w:sz w:val="22"/>
                <w:szCs w:val="22"/>
              </w:rPr>
            </w:pPr>
            <w:r w:rsidRPr="00C55ADB">
              <w:rPr>
                <w:rFonts w:ascii="Arial" w:hAnsi="Arial" w:cs="Arial"/>
                <w:bCs/>
                <w:sz w:val="22"/>
                <w:szCs w:val="22"/>
              </w:rPr>
              <w:t>Overall, the report finds there has been no significant improvement in compliance with care standards, and Oranga Tamariki’s own self-assessment indicates these minimum expectations of care were only met in 37% of cases.</w:t>
            </w:r>
          </w:p>
          <w:p w14:paraId="671B7F47" w14:textId="77777777" w:rsidR="00BB6A18" w:rsidRPr="00C55ADB" w:rsidRDefault="00BB6A18">
            <w:pPr>
              <w:suppressAutoHyphens w:val="0"/>
              <w:spacing w:before="120" w:after="120"/>
              <w:rPr>
                <w:rFonts w:ascii="Arial" w:hAnsi="Arial" w:cs="Arial"/>
                <w:bCs/>
                <w:sz w:val="22"/>
                <w:szCs w:val="22"/>
              </w:rPr>
            </w:pPr>
            <w:r w:rsidRPr="00C55ADB">
              <w:rPr>
                <w:rFonts w:ascii="Arial" w:hAnsi="Arial" w:cs="Arial"/>
                <w:bCs/>
                <w:sz w:val="22"/>
                <w:szCs w:val="22"/>
              </w:rPr>
              <w:t xml:space="preserve">The report identifies social workers are under-resourced and overworked and cannot complete tasks as expected. (For example, they can’t visit tamariki enough or ensure care plans are up to date.) Another significant barrier is a lack of placements for tamariki to which social workers can refer tamariki </w:t>
            </w:r>
            <w:proofErr w:type="gramStart"/>
            <w:r w:rsidRPr="00C55ADB">
              <w:rPr>
                <w:rFonts w:ascii="Arial" w:hAnsi="Arial" w:cs="Arial"/>
                <w:bCs/>
                <w:sz w:val="22"/>
                <w:szCs w:val="22"/>
              </w:rPr>
              <w:t>to:</w:t>
            </w:r>
            <w:proofErr w:type="gramEnd"/>
            <w:r w:rsidRPr="00C55ADB">
              <w:rPr>
                <w:rFonts w:ascii="Arial" w:hAnsi="Arial" w:cs="Arial"/>
                <w:bCs/>
                <w:sz w:val="22"/>
                <w:szCs w:val="22"/>
              </w:rPr>
              <w:t xml:space="preserve"> a resulting outcome is about one third of placements are not even provisionally checked before tamariki are sent to live there.</w:t>
            </w:r>
          </w:p>
          <w:p w14:paraId="24EEB9CF" w14:textId="77777777" w:rsidR="00BB6A18" w:rsidRPr="00C55ADB" w:rsidRDefault="00BB6A18">
            <w:pPr>
              <w:suppressAutoHyphens w:val="0"/>
              <w:spacing w:before="120" w:after="120"/>
              <w:rPr>
                <w:rFonts w:ascii="Arial" w:hAnsi="Arial" w:cs="Arial"/>
                <w:bCs/>
                <w:sz w:val="22"/>
                <w:szCs w:val="22"/>
              </w:rPr>
            </w:pPr>
            <w:r w:rsidRPr="00C55ADB">
              <w:rPr>
                <w:rFonts w:ascii="Arial" w:hAnsi="Arial" w:cs="Arial"/>
                <w:bCs/>
                <w:sz w:val="22"/>
                <w:szCs w:val="22"/>
              </w:rPr>
              <w:t>Beyond Oranga Tamariki the report is critical of other sector agencies, education and health, not prioritizing and not appreciating the care needs of children in state care, and therefore under-delivering of systemic support.</w:t>
            </w:r>
          </w:p>
          <w:p w14:paraId="755B0D11" w14:textId="77777777" w:rsidR="00BB6A18" w:rsidRPr="00C55ADB" w:rsidRDefault="00BB6A18">
            <w:pPr>
              <w:suppressAutoHyphens w:val="0"/>
              <w:spacing w:before="120" w:after="120"/>
              <w:rPr>
                <w:rFonts w:ascii="Arial" w:hAnsi="Arial" w:cs="Arial"/>
                <w:bCs/>
                <w:sz w:val="22"/>
                <w:szCs w:val="22"/>
              </w:rPr>
            </w:pPr>
            <w:r w:rsidRPr="00C55ADB">
              <w:rPr>
                <w:rFonts w:ascii="Arial" w:hAnsi="Arial" w:cs="Arial"/>
                <w:bCs/>
                <w:sz w:val="22"/>
                <w:szCs w:val="22"/>
              </w:rPr>
              <w:t>The report also identifies that 10% of those in care reported abuse or neglect in the year gone, and that the most dangerous places for these children/ youth people are direct Oranga Tamariki residences themselves (20% harm rate).  Other notable data points include:</w:t>
            </w:r>
          </w:p>
          <w:p w14:paraId="41114155" w14:textId="77777777" w:rsidR="00BB6A18" w:rsidRPr="00C55ADB" w:rsidRDefault="00BB6A18">
            <w:pPr>
              <w:numPr>
                <w:ilvl w:val="0"/>
                <w:numId w:val="35"/>
              </w:numPr>
              <w:suppressAutoHyphens w:val="0"/>
              <w:spacing w:before="120" w:after="120"/>
              <w:rPr>
                <w:rFonts w:ascii="Arial" w:hAnsi="Arial" w:cs="Arial"/>
                <w:bCs/>
                <w:sz w:val="22"/>
                <w:szCs w:val="22"/>
              </w:rPr>
            </w:pPr>
            <w:r w:rsidRPr="00C55ADB">
              <w:rPr>
                <w:rFonts w:ascii="Arial" w:hAnsi="Arial" w:cs="Arial"/>
                <w:bCs/>
                <w:sz w:val="22"/>
                <w:szCs w:val="22"/>
              </w:rPr>
              <w:t>Nearly a third of tamariki get a change of carer during the year (which shows lack of stability</w:t>
            </w:r>
            <w:proofErr w:type="gramStart"/>
            <w:r w:rsidRPr="00C55ADB">
              <w:rPr>
                <w:rFonts w:ascii="Arial" w:hAnsi="Arial" w:cs="Arial"/>
                <w:bCs/>
                <w:sz w:val="22"/>
                <w:szCs w:val="22"/>
              </w:rPr>
              <w:t>);</w:t>
            </w:r>
            <w:proofErr w:type="gramEnd"/>
          </w:p>
          <w:p w14:paraId="4E0432F8" w14:textId="77777777" w:rsidR="00BB6A18" w:rsidRPr="00C55ADB" w:rsidRDefault="00BB6A18">
            <w:pPr>
              <w:numPr>
                <w:ilvl w:val="0"/>
                <w:numId w:val="35"/>
              </w:numPr>
              <w:suppressAutoHyphens w:val="0"/>
              <w:spacing w:before="120" w:after="120"/>
              <w:rPr>
                <w:rFonts w:ascii="Arial" w:hAnsi="Arial" w:cs="Arial"/>
                <w:bCs/>
                <w:sz w:val="22"/>
                <w:szCs w:val="22"/>
              </w:rPr>
            </w:pPr>
            <w:r w:rsidRPr="00C55ADB">
              <w:rPr>
                <w:rFonts w:ascii="Arial" w:hAnsi="Arial" w:cs="Arial"/>
                <w:bCs/>
                <w:sz w:val="22"/>
                <w:szCs w:val="22"/>
              </w:rPr>
              <w:t>250 children/young people had to be housed for a short period in a motel during the year; and</w:t>
            </w:r>
          </w:p>
          <w:p w14:paraId="12242CD0" w14:textId="77777777" w:rsidR="00BB6A18" w:rsidRPr="00C55ADB" w:rsidRDefault="00BB6A18">
            <w:pPr>
              <w:numPr>
                <w:ilvl w:val="0"/>
                <w:numId w:val="35"/>
              </w:numPr>
              <w:suppressAutoHyphens w:val="0"/>
              <w:spacing w:before="120" w:after="120"/>
              <w:rPr>
                <w:rFonts w:ascii="Arial" w:hAnsi="Arial" w:cs="Arial"/>
                <w:bCs/>
                <w:sz w:val="22"/>
                <w:szCs w:val="22"/>
              </w:rPr>
            </w:pPr>
            <w:r w:rsidRPr="00C55ADB">
              <w:rPr>
                <w:rFonts w:ascii="Arial" w:hAnsi="Arial" w:cs="Arial"/>
                <w:bCs/>
                <w:sz w:val="22"/>
                <w:szCs w:val="22"/>
              </w:rPr>
              <w:t xml:space="preserve">School enrolment and attendance issues arise for a significant proportion of children in state care. </w:t>
            </w:r>
          </w:p>
          <w:p w14:paraId="10D7DD70" w14:textId="77777777" w:rsidR="00BB6A18" w:rsidRPr="00C55ADB" w:rsidRDefault="00BB6A18">
            <w:pPr>
              <w:suppressAutoHyphens w:val="0"/>
              <w:spacing w:before="120" w:after="120"/>
              <w:rPr>
                <w:rFonts w:ascii="Arial" w:hAnsi="Arial" w:cs="Arial"/>
                <w:bCs/>
                <w:sz w:val="22"/>
                <w:szCs w:val="22"/>
              </w:rPr>
            </w:pPr>
            <w:r w:rsidRPr="00C55ADB">
              <w:rPr>
                <w:rFonts w:ascii="Arial" w:hAnsi="Arial" w:cs="Arial"/>
                <w:bCs/>
                <w:sz w:val="22"/>
                <w:szCs w:val="22"/>
              </w:rPr>
              <w:t>The report also identifies why children/young people are paced in state care: parents with alcohol/drug problems, family violence are key drivers (present in over half of all cases).  From this neglect, unsafe living, abuse follow as consistent patterns for state care.</w:t>
            </w:r>
          </w:p>
        </w:tc>
      </w:tr>
      <w:tr w:rsidR="00BB6A18" w:rsidRPr="00C55ADB" w14:paraId="71A17244" w14:textId="77777777" w:rsidTr="003714D2">
        <w:trPr>
          <w:trHeight w:val="454"/>
        </w:trPr>
        <w:tc>
          <w:tcPr>
            <w:tcW w:w="1819" w:type="dxa"/>
            <w:vMerge/>
          </w:tcPr>
          <w:p w14:paraId="5349263A" w14:textId="77777777" w:rsidR="00BB6A18" w:rsidRPr="00C55ADB" w:rsidRDefault="00BB6A18">
            <w:pPr>
              <w:suppressAutoHyphens w:val="0"/>
              <w:rPr>
                <w:rFonts w:ascii="Arial" w:hAnsi="Arial" w:cs="Arial"/>
                <w:b/>
                <w:sz w:val="22"/>
                <w:szCs w:val="22"/>
              </w:rPr>
            </w:pPr>
          </w:p>
        </w:tc>
        <w:tc>
          <w:tcPr>
            <w:tcW w:w="1525" w:type="dxa"/>
          </w:tcPr>
          <w:p w14:paraId="384C5949" w14:textId="77777777" w:rsidR="00BB6A18" w:rsidRPr="00C55ADB" w:rsidRDefault="00BB6A18">
            <w:pPr>
              <w:suppressAutoHyphens w:val="0"/>
              <w:spacing w:before="120" w:after="120"/>
              <w:rPr>
                <w:rFonts w:ascii="Arial" w:hAnsi="Arial" w:cs="Arial"/>
                <w:sz w:val="22"/>
                <w:szCs w:val="22"/>
              </w:rPr>
            </w:pPr>
            <w:r w:rsidRPr="00C55ADB">
              <w:rPr>
                <w:rFonts w:ascii="Arial" w:hAnsi="Arial" w:cs="Arial"/>
                <w:sz w:val="22"/>
                <w:szCs w:val="22"/>
              </w:rPr>
              <w:t>Quality rating:</w:t>
            </w:r>
          </w:p>
        </w:tc>
        <w:tc>
          <w:tcPr>
            <w:tcW w:w="6337" w:type="dxa"/>
          </w:tcPr>
          <w:p w14:paraId="640A13AB" w14:textId="77777777" w:rsidR="00BB6A18" w:rsidRPr="00C55ADB" w:rsidRDefault="00BB6A18">
            <w:pPr>
              <w:suppressAutoHyphens w:val="0"/>
              <w:spacing w:before="120" w:after="120"/>
              <w:rPr>
                <w:rFonts w:ascii="Arial" w:hAnsi="Arial" w:cs="Arial"/>
                <w:bCs/>
                <w:sz w:val="22"/>
                <w:szCs w:val="22"/>
              </w:rPr>
            </w:pPr>
            <w:r w:rsidRPr="00C55ADB">
              <w:rPr>
                <w:rFonts w:ascii="Arial" w:hAnsi="Arial" w:cs="Arial"/>
                <w:bCs/>
                <w:sz w:val="22"/>
                <w:szCs w:val="22"/>
              </w:rPr>
              <w:t>Excellent</w:t>
            </w:r>
          </w:p>
        </w:tc>
      </w:tr>
      <w:tr w:rsidR="00BB6A18" w:rsidRPr="00C55ADB" w14:paraId="47BE1056" w14:textId="77777777" w:rsidTr="003714D2">
        <w:trPr>
          <w:trHeight w:val="454"/>
        </w:trPr>
        <w:tc>
          <w:tcPr>
            <w:tcW w:w="1819" w:type="dxa"/>
            <w:vMerge/>
          </w:tcPr>
          <w:p w14:paraId="59A9912A" w14:textId="77777777" w:rsidR="00BB6A18" w:rsidRPr="00C55ADB" w:rsidRDefault="00BB6A18">
            <w:pPr>
              <w:suppressAutoHyphens w:val="0"/>
              <w:rPr>
                <w:rFonts w:ascii="Arial" w:hAnsi="Arial" w:cs="Arial"/>
                <w:b/>
                <w:sz w:val="22"/>
                <w:szCs w:val="22"/>
              </w:rPr>
            </w:pPr>
          </w:p>
        </w:tc>
        <w:tc>
          <w:tcPr>
            <w:tcW w:w="1525" w:type="dxa"/>
          </w:tcPr>
          <w:p w14:paraId="5932D8D7" w14:textId="77777777" w:rsidR="00BB6A18" w:rsidRPr="00C55ADB" w:rsidRDefault="00BB6A18">
            <w:pPr>
              <w:suppressAutoHyphens w:val="0"/>
              <w:spacing w:before="120" w:after="120"/>
              <w:rPr>
                <w:rFonts w:ascii="Arial" w:hAnsi="Arial" w:cs="Arial"/>
                <w:sz w:val="22"/>
                <w:szCs w:val="22"/>
              </w:rPr>
            </w:pPr>
            <w:r w:rsidRPr="00C55ADB">
              <w:rPr>
                <w:rFonts w:ascii="Arial" w:hAnsi="Arial" w:cs="Arial"/>
                <w:sz w:val="22"/>
                <w:szCs w:val="22"/>
              </w:rPr>
              <w:t>Assessment rationale summary:</w:t>
            </w:r>
          </w:p>
        </w:tc>
        <w:tc>
          <w:tcPr>
            <w:tcW w:w="6337" w:type="dxa"/>
          </w:tcPr>
          <w:p w14:paraId="0EB58F1E" w14:textId="77777777" w:rsidR="00BB6A18" w:rsidRPr="00C55ADB" w:rsidRDefault="00BB6A18">
            <w:pPr>
              <w:suppressAutoHyphens w:val="0"/>
              <w:spacing w:before="120" w:after="120"/>
              <w:rPr>
                <w:rFonts w:ascii="Arial" w:hAnsi="Arial" w:cs="Arial"/>
                <w:bCs/>
                <w:sz w:val="22"/>
                <w:szCs w:val="22"/>
              </w:rPr>
            </w:pPr>
            <w:r w:rsidRPr="00C55ADB">
              <w:rPr>
                <w:rFonts w:ascii="Arial" w:hAnsi="Arial" w:cs="Arial"/>
                <w:bCs/>
                <w:sz w:val="22"/>
                <w:szCs w:val="22"/>
              </w:rPr>
              <w:t>While the data in this report is shocking, in terms of a monitoring report it is excellent.  The methodology is clear and thorough (ensuring a good balance of views).  The assessment against the care criteria is on point, and key points and concerns are clearly laid out.  This report is an example to other sectors as to how to (fearlessly) monitor outcomes.</w:t>
            </w:r>
          </w:p>
          <w:p w14:paraId="664031A9" w14:textId="77777777" w:rsidR="00BB6A18" w:rsidRPr="00C55ADB" w:rsidRDefault="00BB6A18">
            <w:pPr>
              <w:suppressAutoHyphens w:val="0"/>
              <w:spacing w:before="120" w:after="120"/>
              <w:rPr>
                <w:rFonts w:ascii="Arial" w:hAnsi="Arial" w:cs="Arial"/>
                <w:bCs/>
                <w:sz w:val="22"/>
                <w:szCs w:val="22"/>
              </w:rPr>
            </w:pPr>
            <w:r w:rsidRPr="00C55ADB">
              <w:rPr>
                <w:rFonts w:ascii="Arial" w:hAnsi="Arial" w:cs="Arial"/>
                <w:bCs/>
                <w:sz w:val="22"/>
                <w:szCs w:val="22"/>
              </w:rPr>
              <w:t>One aspect the monitor does not raise (as it is out of scope), however, is whether other entities, particularly Māori and iwi social service providers, could be better utilised to change these negative outcomes.</w:t>
            </w:r>
          </w:p>
        </w:tc>
      </w:tr>
    </w:tbl>
    <w:p w14:paraId="3ABD7C57" w14:textId="77777777" w:rsidR="00FA37BF" w:rsidRDefault="00FA37BF" w:rsidP="00512709">
      <w:pPr>
        <w:pStyle w:val="BodyText"/>
        <w:suppressAutoHyphens w:val="0"/>
        <w:rPr>
          <w:rFonts w:cs="Arial"/>
          <w:b/>
          <w:szCs w:val="24"/>
        </w:rPr>
      </w:pPr>
    </w:p>
    <w:tbl>
      <w:tblPr>
        <w:tblStyle w:val="TableGrid"/>
        <w:tblW w:w="0" w:type="auto"/>
        <w:tblInd w:w="-856" w:type="dxa"/>
        <w:tblLook w:val="04A0" w:firstRow="1" w:lastRow="0" w:firstColumn="1" w:lastColumn="0" w:noHBand="0" w:noVBand="1"/>
      </w:tblPr>
      <w:tblGrid>
        <w:gridCol w:w="1819"/>
        <w:gridCol w:w="1525"/>
        <w:gridCol w:w="6337"/>
      </w:tblGrid>
      <w:tr w:rsidR="00291BEF" w:rsidRPr="00C55ADB" w14:paraId="5261B9F7" w14:textId="77777777">
        <w:trPr>
          <w:trHeight w:val="454"/>
        </w:trPr>
        <w:tc>
          <w:tcPr>
            <w:tcW w:w="1819" w:type="dxa"/>
            <w:vMerge w:val="restart"/>
          </w:tcPr>
          <w:p w14:paraId="5DE06C51" w14:textId="1EFFA96A" w:rsidR="00291BEF" w:rsidRPr="00C55ADB" w:rsidRDefault="00A436EF">
            <w:pPr>
              <w:suppressAutoHyphens w:val="0"/>
              <w:spacing w:before="120"/>
              <w:rPr>
                <w:rFonts w:ascii="Arial" w:hAnsi="Arial" w:cs="Arial"/>
                <w:b/>
                <w:sz w:val="22"/>
                <w:szCs w:val="22"/>
              </w:rPr>
            </w:pPr>
            <w:r w:rsidRPr="00C55ADB">
              <w:rPr>
                <w:rFonts w:ascii="Arial" w:hAnsi="Arial" w:cs="Arial"/>
                <w:b/>
                <w:sz w:val="22"/>
                <w:szCs w:val="22"/>
              </w:rPr>
              <w:t>Te Reo Māori</w:t>
            </w:r>
          </w:p>
          <w:p w14:paraId="05A856DE" w14:textId="77777777" w:rsidR="00291BEF" w:rsidRPr="00C55ADB" w:rsidRDefault="00291BEF">
            <w:pPr>
              <w:suppressAutoHyphens w:val="0"/>
              <w:rPr>
                <w:rFonts w:ascii="Arial" w:hAnsi="Arial" w:cs="Arial"/>
                <w:b/>
                <w:sz w:val="22"/>
                <w:szCs w:val="22"/>
              </w:rPr>
            </w:pPr>
          </w:p>
          <w:p w14:paraId="2619244B" w14:textId="77777777" w:rsidR="00291BEF" w:rsidRPr="00C55ADB" w:rsidRDefault="00291BEF">
            <w:pPr>
              <w:rPr>
                <w:rFonts w:ascii="Arial" w:hAnsi="Arial" w:cs="Arial"/>
                <w:b/>
                <w:sz w:val="22"/>
                <w:szCs w:val="22"/>
              </w:rPr>
            </w:pPr>
            <w:r w:rsidRPr="00C55ADB">
              <w:rPr>
                <w:rFonts w:ascii="Arial" w:hAnsi="Arial" w:cs="Arial"/>
                <w:b/>
                <w:sz w:val="22"/>
                <w:szCs w:val="22"/>
              </w:rPr>
              <w:t>Pānui 05/2026</w:t>
            </w:r>
          </w:p>
        </w:tc>
        <w:tc>
          <w:tcPr>
            <w:tcW w:w="1525" w:type="dxa"/>
          </w:tcPr>
          <w:p w14:paraId="2D921A14" w14:textId="77777777" w:rsidR="00291BEF" w:rsidRPr="00C55ADB" w:rsidRDefault="00291BEF">
            <w:pPr>
              <w:suppressAutoHyphens w:val="0"/>
              <w:spacing w:before="120" w:after="120"/>
              <w:rPr>
                <w:rFonts w:ascii="Arial" w:hAnsi="Arial" w:cs="Arial"/>
                <w:i/>
                <w:sz w:val="22"/>
                <w:szCs w:val="22"/>
              </w:rPr>
            </w:pPr>
            <w:r w:rsidRPr="00C55ADB">
              <w:rPr>
                <w:rFonts w:ascii="Arial" w:hAnsi="Arial" w:cs="Arial"/>
                <w:b/>
                <w:sz w:val="22"/>
                <w:szCs w:val="22"/>
              </w:rPr>
              <w:t>Item:</w:t>
            </w:r>
          </w:p>
        </w:tc>
        <w:tc>
          <w:tcPr>
            <w:tcW w:w="6337" w:type="dxa"/>
          </w:tcPr>
          <w:p w14:paraId="58FF3A05" w14:textId="77777777" w:rsidR="00291BEF" w:rsidRPr="00C55ADB" w:rsidRDefault="00291BEF">
            <w:pPr>
              <w:pStyle w:val="BodyText"/>
              <w:spacing w:before="120"/>
              <w:rPr>
                <w:rFonts w:cs="Arial"/>
                <w:sz w:val="22"/>
                <w:szCs w:val="22"/>
              </w:rPr>
            </w:pPr>
            <w:bookmarkStart w:id="9" w:name="ap3"/>
            <w:r w:rsidRPr="00C55ADB">
              <w:rPr>
                <w:rFonts w:cs="Arial"/>
                <w:b/>
                <w:sz w:val="22"/>
                <w:szCs w:val="22"/>
              </w:rPr>
              <w:t>Te Taura Whiri i te Reo Māori, Māori Language Commission, Annual report, 2024–25</w:t>
            </w:r>
            <w:bookmarkEnd w:id="9"/>
          </w:p>
        </w:tc>
      </w:tr>
      <w:tr w:rsidR="00291BEF" w:rsidRPr="00C55ADB" w14:paraId="2922BA55" w14:textId="77777777">
        <w:trPr>
          <w:trHeight w:val="454"/>
        </w:trPr>
        <w:tc>
          <w:tcPr>
            <w:tcW w:w="1819" w:type="dxa"/>
            <w:vMerge/>
          </w:tcPr>
          <w:p w14:paraId="0A282501" w14:textId="77777777" w:rsidR="00291BEF" w:rsidRPr="00C55ADB" w:rsidRDefault="00291BEF">
            <w:pPr>
              <w:rPr>
                <w:rFonts w:ascii="Arial" w:hAnsi="Arial" w:cs="Arial"/>
                <w:b/>
                <w:sz w:val="22"/>
                <w:szCs w:val="22"/>
              </w:rPr>
            </w:pPr>
          </w:p>
        </w:tc>
        <w:tc>
          <w:tcPr>
            <w:tcW w:w="1525" w:type="dxa"/>
          </w:tcPr>
          <w:p w14:paraId="41205CE6" w14:textId="77777777" w:rsidR="00291BEF" w:rsidRPr="00C55ADB" w:rsidRDefault="00291BEF">
            <w:pPr>
              <w:suppressAutoHyphens w:val="0"/>
              <w:spacing w:before="120" w:after="120"/>
              <w:rPr>
                <w:rFonts w:ascii="Arial" w:hAnsi="Arial" w:cs="Arial"/>
                <w:i/>
                <w:sz w:val="22"/>
                <w:szCs w:val="22"/>
              </w:rPr>
            </w:pPr>
            <w:r w:rsidRPr="00C55ADB">
              <w:rPr>
                <w:rFonts w:ascii="Arial" w:hAnsi="Arial" w:cs="Arial"/>
                <w:sz w:val="22"/>
                <w:szCs w:val="22"/>
              </w:rPr>
              <w:t>Publisher:</w:t>
            </w:r>
          </w:p>
        </w:tc>
        <w:tc>
          <w:tcPr>
            <w:tcW w:w="6337" w:type="dxa"/>
          </w:tcPr>
          <w:p w14:paraId="1198AC9D" w14:textId="77777777" w:rsidR="00291BEF" w:rsidRPr="00C55ADB" w:rsidRDefault="00291BEF">
            <w:pPr>
              <w:pStyle w:val="BodyText"/>
              <w:spacing w:before="120"/>
              <w:rPr>
                <w:rFonts w:cs="Arial"/>
                <w:sz w:val="22"/>
                <w:szCs w:val="22"/>
              </w:rPr>
            </w:pPr>
            <w:r w:rsidRPr="00C55ADB">
              <w:rPr>
                <w:rFonts w:cs="Arial"/>
                <w:b/>
                <w:sz w:val="22"/>
                <w:szCs w:val="22"/>
              </w:rPr>
              <w:t>Te Taura Whiri i te Reo Māori</w:t>
            </w:r>
            <w:r w:rsidRPr="00C55ADB">
              <w:rPr>
                <w:rFonts w:cs="Arial"/>
                <w:sz w:val="22"/>
                <w:szCs w:val="22"/>
              </w:rPr>
              <w:t xml:space="preserve"> (TTW)</w:t>
            </w:r>
          </w:p>
        </w:tc>
      </w:tr>
      <w:tr w:rsidR="00291BEF" w:rsidRPr="00C55ADB" w14:paraId="7104D7A8" w14:textId="77777777">
        <w:trPr>
          <w:trHeight w:val="454"/>
        </w:trPr>
        <w:tc>
          <w:tcPr>
            <w:tcW w:w="1819" w:type="dxa"/>
            <w:vMerge/>
          </w:tcPr>
          <w:p w14:paraId="34532AAB" w14:textId="77777777" w:rsidR="00291BEF" w:rsidRPr="00C55ADB" w:rsidRDefault="00291BEF">
            <w:pPr>
              <w:suppressAutoHyphens w:val="0"/>
              <w:rPr>
                <w:rFonts w:ascii="Arial" w:hAnsi="Arial" w:cs="Arial"/>
                <w:b/>
                <w:sz w:val="22"/>
                <w:szCs w:val="22"/>
              </w:rPr>
            </w:pPr>
          </w:p>
        </w:tc>
        <w:tc>
          <w:tcPr>
            <w:tcW w:w="1525" w:type="dxa"/>
          </w:tcPr>
          <w:p w14:paraId="7598A926" w14:textId="77777777" w:rsidR="00291BEF" w:rsidRPr="00C55ADB" w:rsidRDefault="00291BEF">
            <w:pPr>
              <w:suppressAutoHyphens w:val="0"/>
              <w:spacing w:before="120" w:after="120"/>
              <w:rPr>
                <w:rFonts w:ascii="Arial" w:hAnsi="Arial" w:cs="Arial"/>
                <w:i/>
                <w:sz w:val="22"/>
                <w:szCs w:val="22"/>
              </w:rPr>
            </w:pPr>
            <w:r w:rsidRPr="00C55ADB">
              <w:rPr>
                <w:rFonts w:ascii="Arial" w:hAnsi="Arial" w:cs="Arial"/>
                <w:sz w:val="22"/>
                <w:szCs w:val="22"/>
              </w:rPr>
              <w:t>Content summary:</w:t>
            </w:r>
          </w:p>
        </w:tc>
        <w:tc>
          <w:tcPr>
            <w:tcW w:w="6337" w:type="dxa"/>
          </w:tcPr>
          <w:p w14:paraId="7C9E1E7F" w14:textId="77777777" w:rsidR="00291BEF" w:rsidRPr="00C55ADB" w:rsidRDefault="00291BEF">
            <w:pPr>
              <w:suppressAutoHyphens w:val="0"/>
              <w:spacing w:before="120" w:after="120"/>
              <w:rPr>
                <w:rFonts w:ascii="Arial" w:hAnsi="Arial" w:cs="Arial"/>
                <w:bCs/>
                <w:sz w:val="22"/>
                <w:szCs w:val="22"/>
              </w:rPr>
            </w:pPr>
            <w:r w:rsidRPr="00C55ADB">
              <w:rPr>
                <w:rFonts w:ascii="Arial" w:hAnsi="Arial" w:cs="Arial"/>
                <w:bCs/>
                <w:sz w:val="22"/>
                <w:szCs w:val="22"/>
              </w:rPr>
              <w:t xml:space="preserve">This annual report sets out the financial and non-financial performance of Te Taura Whiri i te Reo Māori (‘Te Taura Whiri’) for the year to 30 June 2025.  Te Taura Whiri i te Reo Māori (“Te Taura Whiri”) is responsible for (i) upholding Te Reo as an official language, (ii) promoting Te Reo as a living language, (iii) co-ordinating the </w:t>
            </w:r>
            <w:proofErr w:type="spellStart"/>
            <w:r w:rsidRPr="00C55ADB">
              <w:rPr>
                <w:rFonts w:ascii="Arial" w:hAnsi="Arial" w:cs="Arial"/>
                <w:bCs/>
                <w:sz w:val="22"/>
                <w:szCs w:val="22"/>
              </w:rPr>
              <w:t>Maihi</w:t>
            </w:r>
            <w:proofErr w:type="spellEnd"/>
            <w:r w:rsidRPr="00C55ADB">
              <w:rPr>
                <w:rFonts w:ascii="Arial" w:hAnsi="Arial" w:cs="Arial"/>
                <w:bCs/>
                <w:sz w:val="22"/>
                <w:szCs w:val="22"/>
              </w:rPr>
              <w:t xml:space="preserve"> Karuna (Government’s Te Reo Strategy), and managing the licensing of interpreters and translators.  Plus, they provide Ministerial advice on Te Reo matters.</w:t>
            </w:r>
            <w:r w:rsidRPr="00C55ADB">
              <w:rPr>
                <w:rFonts w:ascii="Arial" w:hAnsi="Arial" w:cs="Arial"/>
                <w:bCs/>
                <w:sz w:val="22"/>
                <w:szCs w:val="22"/>
                <w:vertAlign w:val="superscript"/>
              </w:rPr>
              <w:footnoteReference w:id="6"/>
            </w:r>
            <w:r w:rsidRPr="00C55ADB">
              <w:rPr>
                <w:rFonts w:ascii="Arial" w:hAnsi="Arial" w:cs="Arial"/>
                <w:bCs/>
                <w:sz w:val="22"/>
                <w:szCs w:val="22"/>
              </w:rPr>
              <w:t xml:space="preserve">   </w:t>
            </w:r>
          </w:p>
          <w:p w14:paraId="5904EC8A" w14:textId="77777777" w:rsidR="00291BEF" w:rsidRPr="00C55ADB" w:rsidRDefault="00291BEF">
            <w:pPr>
              <w:suppressAutoHyphens w:val="0"/>
              <w:spacing w:before="120" w:after="120"/>
              <w:rPr>
                <w:rFonts w:ascii="Arial" w:hAnsi="Arial" w:cs="Arial"/>
                <w:bCs/>
                <w:sz w:val="22"/>
                <w:szCs w:val="22"/>
              </w:rPr>
            </w:pPr>
            <w:r w:rsidRPr="00C55ADB">
              <w:rPr>
                <w:rFonts w:ascii="Arial" w:hAnsi="Arial" w:cs="Arial"/>
                <w:bCs/>
                <w:sz w:val="22"/>
                <w:szCs w:val="22"/>
              </w:rPr>
              <w:t xml:space="preserve">The report begins with key data (showing Te Reo language growth within the population), then messages from the Chair (Professor Rawinia Higgins) and Chief Executive / Tumu </w:t>
            </w:r>
            <w:proofErr w:type="spellStart"/>
            <w:r w:rsidRPr="00C55ADB">
              <w:rPr>
                <w:rFonts w:ascii="Arial" w:hAnsi="Arial" w:cs="Arial"/>
                <w:bCs/>
                <w:sz w:val="22"/>
                <w:szCs w:val="22"/>
              </w:rPr>
              <w:t>Whakahaere</w:t>
            </w:r>
            <w:proofErr w:type="spellEnd"/>
            <w:r w:rsidRPr="00C55ADB">
              <w:rPr>
                <w:rFonts w:ascii="Arial" w:hAnsi="Arial" w:cs="Arial"/>
                <w:bCs/>
                <w:sz w:val="22"/>
                <w:szCs w:val="22"/>
              </w:rPr>
              <w:t xml:space="preserve"> (Ngahiwi Apanui).  Both suggest there are forces working against Te Reo and adverse matters to overcome, but no matter, they are getting on with the business.  Professor Higgins advises </w:t>
            </w:r>
          </w:p>
          <w:p w14:paraId="2CF35475" w14:textId="77777777" w:rsidR="00291BEF" w:rsidRPr="00C55ADB" w:rsidRDefault="00291BEF">
            <w:pPr>
              <w:suppressAutoHyphens w:val="0"/>
              <w:spacing w:before="120" w:after="120"/>
              <w:rPr>
                <w:rFonts w:ascii="Arial" w:hAnsi="Arial" w:cs="Arial"/>
                <w:bCs/>
                <w:i/>
                <w:iCs/>
                <w:sz w:val="22"/>
                <w:szCs w:val="22"/>
              </w:rPr>
            </w:pPr>
            <w:r w:rsidRPr="00C55ADB">
              <w:rPr>
                <w:rFonts w:ascii="Arial" w:hAnsi="Arial" w:cs="Arial"/>
                <w:bCs/>
                <w:i/>
                <w:iCs/>
                <w:sz w:val="22"/>
                <w:szCs w:val="22"/>
              </w:rPr>
              <w:t>“</w:t>
            </w:r>
            <w:proofErr w:type="gramStart"/>
            <w:r w:rsidRPr="00C55ADB">
              <w:rPr>
                <w:rFonts w:ascii="Arial" w:hAnsi="Arial" w:cs="Arial"/>
                <w:bCs/>
                <w:i/>
                <w:iCs/>
                <w:sz w:val="22"/>
                <w:szCs w:val="22"/>
              </w:rPr>
              <w:t>setbacks</w:t>
            </w:r>
            <w:proofErr w:type="gramEnd"/>
            <w:r w:rsidRPr="00C55ADB">
              <w:rPr>
                <w:rFonts w:ascii="Arial" w:hAnsi="Arial" w:cs="Arial"/>
                <w:bCs/>
                <w:i/>
                <w:iCs/>
                <w:sz w:val="22"/>
                <w:szCs w:val="22"/>
              </w:rPr>
              <w:t xml:space="preserve"> — like the backlash to bilingual signs or</w:t>
            </w:r>
          </w:p>
          <w:p w14:paraId="0DFBDCAE" w14:textId="77777777" w:rsidR="00291BEF" w:rsidRPr="00C55ADB" w:rsidRDefault="00291BEF">
            <w:pPr>
              <w:suppressAutoHyphens w:val="0"/>
              <w:spacing w:before="120" w:after="120"/>
              <w:rPr>
                <w:rFonts w:ascii="Arial" w:hAnsi="Arial" w:cs="Arial"/>
                <w:bCs/>
                <w:i/>
                <w:iCs/>
                <w:sz w:val="22"/>
                <w:szCs w:val="22"/>
              </w:rPr>
            </w:pPr>
            <w:r w:rsidRPr="00C55ADB">
              <w:rPr>
                <w:rFonts w:ascii="Arial" w:hAnsi="Arial" w:cs="Arial"/>
                <w:bCs/>
                <w:i/>
                <w:iCs/>
                <w:sz w:val="22"/>
                <w:szCs w:val="22"/>
              </w:rPr>
              <w:t>the rejection of restored place names — reveal how</w:t>
            </w:r>
          </w:p>
          <w:p w14:paraId="124DC054" w14:textId="77777777" w:rsidR="00291BEF" w:rsidRPr="00C55ADB" w:rsidRDefault="00291BEF">
            <w:pPr>
              <w:suppressAutoHyphens w:val="0"/>
              <w:spacing w:before="120" w:after="120"/>
              <w:rPr>
                <w:rFonts w:ascii="Arial" w:hAnsi="Arial" w:cs="Arial"/>
                <w:bCs/>
                <w:i/>
                <w:iCs/>
                <w:sz w:val="22"/>
                <w:szCs w:val="22"/>
              </w:rPr>
            </w:pPr>
            <w:r w:rsidRPr="00C55ADB">
              <w:rPr>
                <w:rFonts w:ascii="Arial" w:hAnsi="Arial" w:cs="Arial"/>
                <w:bCs/>
                <w:i/>
                <w:iCs/>
                <w:sz w:val="22"/>
                <w:szCs w:val="22"/>
              </w:rPr>
              <w:t xml:space="preserve">fragile progress [Te Reo </w:t>
            </w:r>
            <w:proofErr w:type="spellStart"/>
            <w:r w:rsidRPr="00C55ADB">
              <w:rPr>
                <w:rFonts w:ascii="Arial" w:hAnsi="Arial" w:cs="Arial"/>
                <w:bCs/>
                <w:i/>
                <w:iCs/>
                <w:sz w:val="22"/>
                <w:szCs w:val="22"/>
              </w:rPr>
              <w:t>llanguage</w:t>
            </w:r>
            <w:proofErr w:type="spellEnd"/>
            <w:r w:rsidRPr="00C55ADB">
              <w:rPr>
                <w:rFonts w:ascii="Arial" w:hAnsi="Arial" w:cs="Arial"/>
                <w:bCs/>
                <w:i/>
                <w:iCs/>
                <w:sz w:val="22"/>
                <w:szCs w:val="22"/>
              </w:rPr>
              <w:t xml:space="preserve"> revitalisation] can be. These incidents were more than debates about signage or spelling. They were attempts to assert power and legitimacy; to determine</w:t>
            </w:r>
          </w:p>
          <w:p w14:paraId="4BD80412" w14:textId="77777777" w:rsidR="00291BEF" w:rsidRPr="00C55ADB" w:rsidRDefault="00291BEF">
            <w:pPr>
              <w:suppressAutoHyphens w:val="0"/>
              <w:spacing w:before="120" w:after="120"/>
              <w:rPr>
                <w:rFonts w:ascii="Arial" w:hAnsi="Arial" w:cs="Arial"/>
                <w:bCs/>
                <w:i/>
                <w:iCs/>
                <w:sz w:val="22"/>
                <w:szCs w:val="22"/>
              </w:rPr>
            </w:pPr>
            <w:r w:rsidRPr="00C55ADB">
              <w:rPr>
                <w:rFonts w:ascii="Arial" w:hAnsi="Arial" w:cs="Arial"/>
                <w:bCs/>
                <w:i/>
                <w:iCs/>
                <w:sz w:val="22"/>
                <w:szCs w:val="22"/>
              </w:rPr>
              <w:t>who decides what is ‘normal’ in Aotearoa. Te reo Māori</w:t>
            </w:r>
          </w:p>
          <w:p w14:paraId="3921112A" w14:textId="77777777" w:rsidR="00291BEF" w:rsidRPr="00C55ADB" w:rsidRDefault="00291BEF">
            <w:pPr>
              <w:suppressAutoHyphens w:val="0"/>
              <w:spacing w:before="120" w:after="120"/>
              <w:rPr>
                <w:rFonts w:ascii="Arial" w:hAnsi="Arial" w:cs="Arial"/>
                <w:bCs/>
                <w:sz w:val="22"/>
                <w:szCs w:val="22"/>
              </w:rPr>
            </w:pPr>
            <w:r w:rsidRPr="00C55ADB">
              <w:rPr>
                <w:rFonts w:ascii="Arial" w:hAnsi="Arial" w:cs="Arial"/>
                <w:bCs/>
                <w:i/>
                <w:iCs/>
                <w:sz w:val="22"/>
                <w:szCs w:val="22"/>
              </w:rPr>
              <w:t>is not a political stunt”</w:t>
            </w:r>
            <w:r w:rsidRPr="00C55ADB">
              <w:rPr>
                <w:rFonts w:ascii="Arial" w:hAnsi="Arial" w:cs="Arial"/>
                <w:bCs/>
                <w:sz w:val="22"/>
                <w:szCs w:val="22"/>
              </w:rPr>
              <w:t xml:space="preserve">.     </w:t>
            </w:r>
          </w:p>
          <w:p w14:paraId="449C3DF1" w14:textId="77777777" w:rsidR="00291BEF" w:rsidRPr="00C55ADB" w:rsidRDefault="00291BEF">
            <w:pPr>
              <w:suppressAutoHyphens w:val="0"/>
              <w:spacing w:before="120" w:after="120"/>
              <w:rPr>
                <w:rFonts w:ascii="Arial" w:hAnsi="Arial" w:cs="Arial"/>
                <w:bCs/>
                <w:sz w:val="22"/>
                <w:szCs w:val="22"/>
              </w:rPr>
            </w:pPr>
            <w:r w:rsidRPr="00C55ADB">
              <w:rPr>
                <w:rFonts w:ascii="Arial" w:hAnsi="Arial" w:cs="Arial"/>
                <w:bCs/>
                <w:sz w:val="22"/>
                <w:szCs w:val="22"/>
              </w:rPr>
              <w:t xml:space="preserve">The report then moves on to performance reporting.  By way of context, Te Taura Whiri receives just under $12 million per annum to deliver its functions (about $11 million from its </w:t>
            </w:r>
            <w:proofErr w:type="gramStart"/>
            <w:r w:rsidRPr="00C55ADB">
              <w:rPr>
                <w:rFonts w:ascii="Arial" w:hAnsi="Arial" w:cs="Arial"/>
                <w:bCs/>
                <w:sz w:val="22"/>
                <w:szCs w:val="22"/>
              </w:rPr>
              <w:t>Government</w:t>
            </w:r>
            <w:proofErr w:type="gramEnd"/>
            <w:r w:rsidRPr="00C55ADB">
              <w:rPr>
                <w:rFonts w:ascii="Arial" w:hAnsi="Arial" w:cs="Arial"/>
                <w:bCs/>
                <w:sz w:val="22"/>
                <w:szCs w:val="22"/>
              </w:rPr>
              <w:t xml:space="preserve"> grant and circa $600,000 in other revenue this year). </w:t>
            </w:r>
          </w:p>
          <w:p w14:paraId="39011D8B" w14:textId="77777777" w:rsidR="00291BEF" w:rsidRPr="00C55ADB" w:rsidRDefault="00291BEF">
            <w:pPr>
              <w:suppressAutoHyphens w:val="0"/>
              <w:spacing w:before="120" w:after="120"/>
              <w:rPr>
                <w:rFonts w:ascii="Arial" w:hAnsi="Arial" w:cs="Arial"/>
                <w:bCs/>
                <w:sz w:val="22"/>
                <w:szCs w:val="22"/>
              </w:rPr>
            </w:pPr>
            <w:r w:rsidRPr="00C55ADB">
              <w:rPr>
                <w:rFonts w:ascii="Arial" w:hAnsi="Arial" w:cs="Arial"/>
                <w:bCs/>
                <w:sz w:val="22"/>
                <w:szCs w:val="22"/>
              </w:rPr>
              <w:t xml:space="preserve">One of the challenges for reporting performance is what to report against.   The board chair says there is no overarching Te Reo policy statement which creates uncertainty of direction, and the chief executive says there is no current </w:t>
            </w:r>
            <w:proofErr w:type="spellStart"/>
            <w:r w:rsidRPr="00C55ADB">
              <w:rPr>
                <w:rFonts w:ascii="Arial" w:hAnsi="Arial" w:cs="Arial"/>
                <w:bCs/>
                <w:sz w:val="22"/>
                <w:szCs w:val="22"/>
              </w:rPr>
              <w:t>Maihi</w:t>
            </w:r>
            <w:proofErr w:type="spellEnd"/>
            <w:r w:rsidRPr="00C55ADB">
              <w:rPr>
                <w:rFonts w:ascii="Arial" w:hAnsi="Arial" w:cs="Arial"/>
                <w:bCs/>
                <w:sz w:val="22"/>
                <w:szCs w:val="22"/>
              </w:rPr>
              <w:t xml:space="preserve"> </w:t>
            </w:r>
            <w:proofErr w:type="spellStart"/>
            <w:r w:rsidRPr="00C55ADB">
              <w:rPr>
                <w:rFonts w:ascii="Arial" w:hAnsi="Arial" w:cs="Arial"/>
                <w:bCs/>
                <w:sz w:val="22"/>
                <w:szCs w:val="22"/>
              </w:rPr>
              <w:t>Karauna</w:t>
            </w:r>
            <w:proofErr w:type="spellEnd"/>
            <w:r w:rsidRPr="00C55ADB">
              <w:rPr>
                <w:rFonts w:ascii="Arial" w:hAnsi="Arial" w:cs="Arial"/>
                <w:bCs/>
                <w:sz w:val="22"/>
                <w:szCs w:val="22"/>
              </w:rPr>
              <w:t xml:space="preserve"> (Government Māori Language Strategy) for them to follow.  </w:t>
            </w:r>
          </w:p>
          <w:p w14:paraId="7AD732E9" w14:textId="77777777" w:rsidR="00291BEF" w:rsidRPr="00C55ADB" w:rsidRDefault="00291BEF">
            <w:pPr>
              <w:suppressAutoHyphens w:val="0"/>
              <w:spacing w:before="120" w:after="120"/>
              <w:rPr>
                <w:rFonts w:ascii="Arial" w:hAnsi="Arial" w:cs="Arial"/>
                <w:bCs/>
                <w:sz w:val="22"/>
                <w:szCs w:val="22"/>
                <w:lang w:val="mi-NZ"/>
              </w:rPr>
            </w:pPr>
            <w:r w:rsidRPr="00C55ADB">
              <w:rPr>
                <w:rFonts w:ascii="Arial" w:hAnsi="Arial" w:cs="Arial"/>
                <w:bCs/>
                <w:sz w:val="22"/>
                <w:szCs w:val="22"/>
                <w:lang w:val="mi-NZ"/>
              </w:rPr>
              <w:t>So in that context the report does its best to report against the dated strategy, and explain services against strategic intentions (rephrased):</w:t>
            </w:r>
          </w:p>
          <w:p w14:paraId="2CC9178C" w14:textId="77777777" w:rsidR="00291BEF" w:rsidRPr="00C55ADB" w:rsidRDefault="00291BEF" w:rsidP="00291BEF">
            <w:pPr>
              <w:numPr>
                <w:ilvl w:val="0"/>
                <w:numId w:val="28"/>
              </w:numPr>
              <w:suppressAutoHyphens w:val="0"/>
              <w:spacing w:before="120" w:after="120"/>
              <w:rPr>
                <w:rFonts w:ascii="Arial" w:hAnsi="Arial" w:cs="Arial"/>
                <w:bCs/>
                <w:sz w:val="22"/>
                <w:szCs w:val="22"/>
                <w:lang w:val="mi-NZ"/>
              </w:rPr>
            </w:pPr>
            <w:r w:rsidRPr="00C55ADB">
              <w:rPr>
                <w:rFonts w:ascii="Arial" w:hAnsi="Arial" w:cs="Arial"/>
                <w:bCs/>
                <w:sz w:val="22"/>
                <w:szCs w:val="22"/>
              </w:rPr>
              <w:t>‘</w:t>
            </w:r>
            <w:proofErr w:type="gramStart"/>
            <w:r w:rsidRPr="00C55ADB">
              <w:rPr>
                <w:rFonts w:ascii="Arial" w:hAnsi="Arial" w:cs="Arial"/>
                <w:bCs/>
                <w:sz w:val="22"/>
                <w:szCs w:val="22"/>
              </w:rPr>
              <w:t>fortify</w:t>
            </w:r>
            <w:proofErr w:type="gramEnd"/>
            <w:r w:rsidRPr="00C55ADB">
              <w:rPr>
                <w:rFonts w:ascii="Arial" w:hAnsi="Arial" w:cs="Arial"/>
                <w:bCs/>
                <w:sz w:val="22"/>
                <w:szCs w:val="22"/>
              </w:rPr>
              <w:t xml:space="preserve"> the Crown’s contribution to te reo Māori revitalisation, (for example increase the number of departments that have a Māori language plan)</w:t>
            </w:r>
          </w:p>
          <w:p w14:paraId="399915EC" w14:textId="77777777" w:rsidR="00291BEF" w:rsidRPr="00C55ADB" w:rsidRDefault="00291BEF" w:rsidP="00291BEF">
            <w:pPr>
              <w:numPr>
                <w:ilvl w:val="0"/>
                <w:numId w:val="28"/>
              </w:numPr>
              <w:suppressAutoHyphens w:val="0"/>
              <w:spacing w:before="120" w:after="120"/>
              <w:rPr>
                <w:rFonts w:ascii="Arial" w:hAnsi="Arial" w:cs="Arial"/>
                <w:bCs/>
                <w:sz w:val="22"/>
                <w:szCs w:val="22"/>
              </w:rPr>
            </w:pPr>
            <w:r w:rsidRPr="00C55ADB">
              <w:rPr>
                <w:rFonts w:ascii="Arial" w:hAnsi="Arial" w:cs="Arial"/>
                <w:bCs/>
                <w:sz w:val="22"/>
                <w:szCs w:val="22"/>
              </w:rPr>
              <w:t>Build the number of New Zealanders who value te reo Māori (for example hold language promotion events)</w:t>
            </w:r>
          </w:p>
          <w:p w14:paraId="40EAE430" w14:textId="77777777" w:rsidR="00291BEF" w:rsidRPr="00C55ADB" w:rsidRDefault="00291BEF" w:rsidP="00291BEF">
            <w:pPr>
              <w:numPr>
                <w:ilvl w:val="0"/>
                <w:numId w:val="28"/>
              </w:numPr>
              <w:suppressAutoHyphens w:val="0"/>
              <w:spacing w:before="120" w:after="120"/>
              <w:rPr>
                <w:rFonts w:ascii="Arial" w:hAnsi="Arial" w:cs="Arial"/>
                <w:bCs/>
                <w:sz w:val="22"/>
                <w:szCs w:val="22"/>
              </w:rPr>
            </w:pPr>
            <w:r w:rsidRPr="00C55ADB">
              <w:rPr>
                <w:rFonts w:ascii="Arial" w:hAnsi="Arial" w:cs="Arial"/>
                <w:bCs/>
                <w:sz w:val="22"/>
                <w:szCs w:val="22"/>
              </w:rPr>
              <w:t>Generate new resources to support learning and use of Te Reo (for example adding new words to the language); and</w:t>
            </w:r>
          </w:p>
          <w:p w14:paraId="0E40DD08" w14:textId="77777777" w:rsidR="00291BEF" w:rsidRPr="00C55ADB" w:rsidRDefault="00291BEF" w:rsidP="00291BEF">
            <w:pPr>
              <w:numPr>
                <w:ilvl w:val="0"/>
                <w:numId w:val="28"/>
              </w:numPr>
              <w:suppressAutoHyphens w:val="0"/>
              <w:spacing w:before="120" w:after="120"/>
              <w:rPr>
                <w:rFonts w:ascii="Arial" w:hAnsi="Arial" w:cs="Arial"/>
                <w:bCs/>
                <w:sz w:val="22"/>
                <w:szCs w:val="22"/>
              </w:rPr>
            </w:pPr>
            <w:r w:rsidRPr="00C55ADB">
              <w:rPr>
                <w:rFonts w:ascii="Arial" w:hAnsi="Arial" w:cs="Arial"/>
                <w:bCs/>
                <w:sz w:val="22"/>
                <w:szCs w:val="22"/>
              </w:rPr>
              <w:t>Ensure the quality of Te Reo is maintained (for example licensing interpreters and translators).</w:t>
            </w:r>
          </w:p>
          <w:p w14:paraId="696C3C58" w14:textId="77777777" w:rsidR="00291BEF" w:rsidRPr="00C55ADB" w:rsidRDefault="00291BEF">
            <w:pPr>
              <w:suppressAutoHyphens w:val="0"/>
              <w:spacing w:before="120" w:after="120"/>
              <w:rPr>
                <w:rFonts w:ascii="Arial" w:hAnsi="Arial" w:cs="Arial"/>
                <w:bCs/>
                <w:sz w:val="22"/>
                <w:szCs w:val="22"/>
              </w:rPr>
            </w:pPr>
            <w:proofErr w:type="gramStart"/>
            <w:r w:rsidRPr="00C55ADB">
              <w:rPr>
                <w:rFonts w:ascii="Arial" w:hAnsi="Arial" w:cs="Arial"/>
                <w:bCs/>
                <w:sz w:val="22"/>
                <w:szCs w:val="22"/>
              </w:rPr>
              <w:t>Overall</w:t>
            </w:r>
            <w:proofErr w:type="gramEnd"/>
            <w:r w:rsidRPr="00C55ADB">
              <w:rPr>
                <w:rFonts w:ascii="Arial" w:hAnsi="Arial" w:cs="Arial"/>
                <w:bCs/>
                <w:sz w:val="22"/>
                <w:szCs w:val="22"/>
              </w:rPr>
              <w:t xml:space="preserve"> we consider some of the outputs of note across these areas are:</w:t>
            </w:r>
          </w:p>
          <w:p w14:paraId="7853DDE6" w14:textId="77777777" w:rsidR="00291BEF" w:rsidRPr="00C55ADB" w:rsidRDefault="00291BEF" w:rsidP="00291BEF">
            <w:pPr>
              <w:numPr>
                <w:ilvl w:val="0"/>
                <w:numId w:val="29"/>
              </w:numPr>
              <w:suppressAutoHyphens w:val="0"/>
              <w:spacing w:before="120" w:after="120"/>
              <w:rPr>
                <w:rFonts w:ascii="Arial" w:hAnsi="Arial" w:cs="Arial"/>
                <w:bCs/>
                <w:sz w:val="22"/>
                <w:szCs w:val="22"/>
              </w:rPr>
            </w:pPr>
            <w:r w:rsidRPr="00C55ADB">
              <w:rPr>
                <w:rFonts w:ascii="Arial" w:hAnsi="Arial" w:cs="Arial"/>
                <w:bCs/>
                <w:sz w:val="22"/>
                <w:szCs w:val="22"/>
              </w:rPr>
              <w:t>starting a speech competition (</w:t>
            </w:r>
            <w:proofErr w:type="spellStart"/>
            <w:r w:rsidRPr="00C55ADB">
              <w:rPr>
                <w:rFonts w:ascii="Arial" w:hAnsi="Arial" w:cs="Arial"/>
                <w:bCs/>
                <w:sz w:val="22"/>
                <w:szCs w:val="22"/>
              </w:rPr>
              <w:t>Waha</w:t>
            </w:r>
            <w:proofErr w:type="spellEnd"/>
            <w:r w:rsidRPr="00C55ADB">
              <w:rPr>
                <w:rFonts w:ascii="Arial" w:hAnsi="Arial" w:cs="Arial"/>
                <w:bCs/>
                <w:sz w:val="22"/>
                <w:szCs w:val="22"/>
              </w:rPr>
              <w:t xml:space="preserve"> Kōrero) for fluent adult speakers; and</w:t>
            </w:r>
          </w:p>
          <w:p w14:paraId="4474A9E7" w14:textId="77777777" w:rsidR="00291BEF" w:rsidRPr="00C55ADB" w:rsidRDefault="00291BEF" w:rsidP="00291BEF">
            <w:pPr>
              <w:numPr>
                <w:ilvl w:val="0"/>
                <w:numId w:val="29"/>
              </w:numPr>
              <w:suppressAutoHyphens w:val="0"/>
              <w:spacing w:before="120" w:after="120"/>
              <w:rPr>
                <w:rFonts w:ascii="Arial" w:hAnsi="Arial" w:cs="Arial"/>
                <w:bCs/>
                <w:sz w:val="22"/>
                <w:szCs w:val="22"/>
              </w:rPr>
            </w:pPr>
            <w:r w:rsidRPr="00C55ADB">
              <w:rPr>
                <w:rFonts w:ascii="Arial" w:hAnsi="Arial" w:cs="Arial"/>
                <w:bCs/>
                <w:sz w:val="22"/>
                <w:szCs w:val="22"/>
              </w:rPr>
              <w:t>supporting 127 people in training towards being a licenced translator / interpreter.</w:t>
            </w:r>
          </w:p>
          <w:p w14:paraId="4AA6EBBE" w14:textId="77777777" w:rsidR="00291BEF" w:rsidRPr="00C55ADB" w:rsidRDefault="00291BEF">
            <w:pPr>
              <w:suppressAutoHyphens w:val="0"/>
              <w:spacing w:before="120" w:after="120"/>
              <w:rPr>
                <w:rFonts w:ascii="Arial" w:hAnsi="Arial" w:cs="Arial"/>
                <w:bCs/>
                <w:sz w:val="22"/>
                <w:szCs w:val="22"/>
              </w:rPr>
            </w:pPr>
            <w:r w:rsidRPr="00C55ADB">
              <w:rPr>
                <w:rFonts w:ascii="Arial" w:hAnsi="Arial" w:cs="Arial"/>
                <w:bCs/>
                <w:sz w:val="22"/>
                <w:szCs w:val="22"/>
              </w:rPr>
              <w:t>These selections are different from what the Commission itself elects to highlight, which has a much stronger public sector focus (such as agency language planning, an awards dinner, a shared initiative with Te Mātāwai, etc).</w:t>
            </w:r>
          </w:p>
          <w:p w14:paraId="00AEB64A" w14:textId="77777777" w:rsidR="00291BEF" w:rsidRPr="00C55ADB" w:rsidRDefault="00291BEF">
            <w:pPr>
              <w:suppressAutoHyphens w:val="0"/>
              <w:spacing w:before="120" w:after="120"/>
              <w:rPr>
                <w:rFonts w:ascii="Arial" w:hAnsi="Arial" w:cs="Arial"/>
                <w:bCs/>
                <w:sz w:val="22"/>
                <w:szCs w:val="22"/>
              </w:rPr>
            </w:pPr>
            <w:r w:rsidRPr="00C55ADB">
              <w:rPr>
                <w:rFonts w:ascii="Arial" w:hAnsi="Arial" w:cs="Arial"/>
                <w:bCs/>
                <w:sz w:val="22"/>
                <w:szCs w:val="22"/>
              </w:rPr>
              <w:t xml:space="preserve">From a financial perspective the profit and loss sheet shows a deficit this year of just under $0.5 million, although equity reserves remain at $8 million.  Over half of their costs are salaries, plus a further $1.5 million on contractors (meaning to balance the budget a little less here should have been achievable.)  To add to that, this organisation of 55 people pays 32 people over </w:t>
            </w:r>
            <w:proofErr w:type="gramStart"/>
            <w:r w:rsidRPr="00C55ADB">
              <w:rPr>
                <w:rFonts w:ascii="Arial" w:hAnsi="Arial" w:cs="Arial"/>
                <w:bCs/>
                <w:sz w:val="22"/>
                <w:szCs w:val="22"/>
              </w:rPr>
              <w:t>$100,000;</w:t>
            </w:r>
            <w:proofErr w:type="gramEnd"/>
            <w:r w:rsidRPr="00C55ADB">
              <w:rPr>
                <w:rFonts w:ascii="Arial" w:hAnsi="Arial" w:cs="Arial"/>
                <w:bCs/>
                <w:sz w:val="22"/>
                <w:szCs w:val="22"/>
              </w:rPr>
              <w:t xml:space="preserve"> so noticeably top heavy.  (For the record the board fees are the opposite, and relatively light.)</w:t>
            </w:r>
          </w:p>
          <w:p w14:paraId="5984EE57" w14:textId="77777777" w:rsidR="00BA389A" w:rsidRPr="00C55ADB" w:rsidRDefault="00BA389A">
            <w:pPr>
              <w:suppressAutoHyphens w:val="0"/>
              <w:spacing w:before="120" w:after="120"/>
              <w:rPr>
                <w:rFonts w:ascii="Arial" w:hAnsi="Arial" w:cs="Arial"/>
                <w:bCs/>
                <w:sz w:val="22"/>
                <w:szCs w:val="22"/>
              </w:rPr>
            </w:pPr>
          </w:p>
          <w:p w14:paraId="6B334551" w14:textId="77777777" w:rsidR="00BA389A" w:rsidRPr="00C55ADB" w:rsidRDefault="00BA389A">
            <w:pPr>
              <w:suppressAutoHyphens w:val="0"/>
              <w:spacing w:before="120" w:after="120"/>
              <w:rPr>
                <w:rFonts w:ascii="Arial" w:hAnsi="Arial" w:cs="Arial"/>
                <w:bCs/>
                <w:sz w:val="22"/>
                <w:szCs w:val="22"/>
              </w:rPr>
            </w:pPr>
          </w:p>
          <w:p w14:paraId="2B8E9A23" w14:textId="77777777" w:rsidR="00BA389A" w:rsidRPr="00C55ADB" w:rsidRDefault="00BA389A">
            <w:pPr>
              <w:suppressAutoHyphens w:val="0"/>
              <w:spacing w:before="120" w:after="120"/>
              <w:rPr>
                <w:rFonts w:ascii="Arial" w:hAnsi="Arial"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
              <w:tblDescription w:val=""/>
            </w:tblPr>
            <w:tblGrid>
              <w:gridCol w:w="2368"/>
              <w:gridCol w:w="1773"/>
            </w:tblGrid>
            <w:tr w:rsidR="00291BEF" w:rsidRPr="00C55ADB" w14:paraId="0C48E459" w14:textId="77777777">
              <w:tc>
                <w:tcPr>
                  <w:tcW w:w="2368" w:type="dxa"/>
                  <w:tcMar>
                    <w:top w:w="80" w:type="dxa"/>
                    <w:left w:w="80" w:type="dxa"/>
                    <w:bottom w:w="80" w:type="dxa"/>
                    <w:right w:w="80" w:type="dxa"/>
                  </w:tcMar>
                  <w:hideMark/>
                </w:tcPr>
                <w:p w14:paraId="4993D554" w14:textId="77777777" w:rsidR="00291BEF" w:rsidRPr="00C55ADB" w:rsidRDefault="00291BEF">
                  <w:pPr>
                    <w:suppressAutoHyphens w:val="0"/>
                    <w:spacing w:before="120" w:after="120"/>
                    <w:rPr>
                      <w:rFonts w:ascii="Arial" w:hAnsi="Arial" w:cs="Arial"/>
                      <w:bCs/>
                      <w:sz w:val="22"/>
                      <w:szCs w:val="22"/>
                    </w:rPr>
                  </w:pPr>
                  <w:r w:rsidRPr="00C55ADB">
                    <w:rPr>
                      <w:rFonts w:ascii="Arial" w:hAnsi="Arial" w:cs="Arial"/>
                      <w:b/>
                      <w:bCs/>
                      <w:sz w:val="22"/>
                      <w:szCs w:val="22"/>
                    </w:rPr>
                    <w:t>Financial Performance Headlines</w:t>
                  </w:r>
                </w:p>
              </w:tc>
              <w:tc>
                <w:tcPr>
                  <w:tcW w:w="1773" w:type="dxa"/>
                  <w:tcMar>
                    <w:top w:w="80" w:type="dxa"/>
                    <w:left w:w="80" w:type="dxa"/>
                    <w:bottom w:w="80" w:type="dxa"/>
                    <w:right w:w="80" w:type="dxa"/>
                  </w:tcMar>
                  <w:hideMark/>
                </w:tcPr>
                <w:p w14:paraId="476BC3F2" w14:textId="77777777" w:rsidR="00291BEF" w:rsidRPr="00C55ADB" w:rsidRDefault="00291BEF">
                  <w:pPr>
                    <w:suppressAutoHyphens w:val="0"/>
                    <w:spacing w:before="120" w:after="120"/>
                    <w:rPr>
                      <w:rFonts w:ascii="Arial" w:hAnsi="Arial" w:cs="Arial"/>
                      <w:bCs/>
                      <w:sz w:val="22"/>
                      <w:szCs w:val="22"/>
                    </w:rPr>
                  </w:pPr>
                  <w:r w:rsidRPr="00C55ADB">
                    <w:rPr>
                      <w:rFonts w:ascii="Arial" w:hAnsi="Arial" w:cs="Arial"/>
                      <w:b/>
                      <w:bCs/>
                      <w:sz w:val="22"/>
                      <w:szCs w:val="22"/>
                    </w:rPr>
                    <w:t>2025 results</w:t>
                  </w:r>
                </w:p>
              </w:tc>
            </w:tr>
            <w:tr w:rsidR="00291BEF" w:rsidRPr="00C55ADB" w14:paraId="079B2EF8" w14:textId="77777777">
              <w:tc>
                <w:tcPr>
                  <w:tcW w:w="2368" w:type="dxa"/>
                  <w:tcMar>
                    <w:top w:w="80" w:type="dxa"/>
                    <w:left w:w="80" w:type="dxa"/>
                    <w:bottom w:w="80" w:type="dxa"/>
                    <w:right w:w="80" w:type="dxa"/>
                  </w:tcMar>
                  <w:hideMark/>
                </w:tcPr>
                <w:p w14:paraId="636CDE1B" w14:textId="77777777" w:rsidR="00291BEF" w:rsidRPr="00C55ADB" w:rsidRDefault="00291BEF">
                  <w:pPr>
                    <w:suppressAutoHyphens w:val="0"/>
                    <w:spacing w:before="120" w:after="120"/>
                    <w:rPr>
                      <w:rFonts w:ascii="Arial" w:hAnsi="Arial" w:cs="Arial"/>
                      <w:bCs/>
                      <w:sz w:val="22"/>
                      <w:szCs w:val="22"/>
                    </w:rPr>
                  </w:pPr>
                  <w:r w:rsidRPr="00C55ADB">
                    <w:rPr>
                      <w:rFonts w:ascii="Arial" w:hAnsi="Arial" w:cs="Arial"/>
                      <w:bCs/>
                      <w:sz w:val="22"/>
                      <w:szCs w:val="22"/>
                    </w:rPr>
                    <w:t>Revenue</w:t>
                  </w:r>
                </w:p>
              </w:tc>
              <w:tc>
                <w:tcPr>
                  <w:tcW w:w="1773" w:type="dxa"/>
                  <w:tcMar>
                    <w:top w:w="80" w:type="dxa"/>
                    <w:left w:w="80" w:type="dxa"/>
                    <w:bottom w:w="80" w:type="dxa"/>
                    <w:right w:w="80" w:type="dxa"/>
                  </w:tcMar>
                  <w:hideMark/>
                </w:tcPr>
                <w:p w14:paraId="62919F5A" w14:textId="77777777" w:rsidR="00291BEF" w:rsidRPr="00C55ADB" w:rsidRDefault="00291BEF">
                  <w:pPr>
                    <w:suppressAutoHyphens w:val="0"/>
                    <w:spacing w:before="120" w:after="120"/>
                    <w:rPr>
                      <w:rFonts w:ascii="Arial" w:hAnsi="Arial" w:cs="Arial"/>
                      <w:bCs/>
                      <w:sz w:val="22"/>
                      <w:szCs w:val="22"/>
                    </w:rPr>
                  </w:pPr>
                  <w:r w:rsidRPr="00C55ADB">
                    <w:rPr>
                      <w:rFonts w:ascii="Arial" w:hAnsi="Arial" w:cs="Arial"/>
                      <w:bCs/>
                      <w:sz w:val="22"/>
                      <w:szCs w:val="22"/>
                    </w:rPr>
                    <w:t>$11.6 million</w:t>
                  </w:r>
                </w:p>
              </w:tc>
            </w:tr>
            <w:tr w:rsidR="00291BEF" w:rsidRPr="00C55ADB" w14:paraId="4F545D44" w14:textId="77777777">
              <w:tc>
                <w:tcPr>
                  <w:tcW w:w="2368" w:type="dxa"/>
                  <w:tcMar>
                    <w:top w:w="80" w:type="dxa"/>
                    <w:left w:w="80" w:type="dxa"/>
                    <w:bottom w:w="80" w:type="dxa"/>
                    <w:right w:w="80" w:type="dxa"/>
                  </w:tcMar>
                  <w:hideMark/>
                </w:tcPr>
                <w:p w14:paraId="67658974" w14:textId="77777777" w:rsidR="00291BEF" w:rsidRPr="00C55ADB" w:rsidRDefault="00291BEF">
                  <w:pPr>
                    <w:suppressAutoHyphens w:val="0"/>
                    <w:spacing w:before="120" w:after="120"/>
                    <w:rPr>
                      <w:rFonts w:ascii="Arial" w:hAnsi="Arial" w:cs="Arial"/>
                      <w:bCs/>
                      <w:sz w:val="22"/>
                      <w:szCs w:val="22"/>
                    </w:rPr>
                  </w:pPr>
                  <w:r w:rsidRPr="00C55ADB">
                    <w:rPr>
                      <w:rFonts w:ascii="Arial" w:hAnsi="Arial" w:cs="Arial"/>
                      <w:bCs/>
                      <w:sz w:val="22"/>
                      <w:szCs w:val="22"/>
                    </w:rPr>
                    <w:t xml:space="preserve">Expenses </w:t>
                  </w:r>
                </w:p>
              </w:tc>
              <w:tc>
                <w:tcPr>
                  <w:tcW w:w="1773" w:type="dxa"/>
                  <w:tcMar>
                    <w:top w:w="80" w:type="dxa"/>
                    <w:left w:w="80" w:type="dxa"/>
                    <w:bottom w:w="80" w:type="dxa"/>
                    <w:right w:w="80" w:type="dxa"/>
                  </w:tcMar>
                  <w:hideMark/>
                </w:tcPr>
                <w:p w14:paraId="3D570B2C" w14:textId="77777777" w:rsidR="00291BEF" w:rsidRPr="00C55ADB" w:rsidRDefault="00291BEF">
                  <w:pPr>
                    <w:suppressAutoHyphens w:val="0"/>
                    <w:spacing w:before="120" w:after="120"/>
                    <w:rPr>
                      <w:rFonts w:ascii="Arial" w:hAnsi="Arial" w:cs="Arial"/>
                      <w:bCs/>
                      <w:sz w:val="22"/>
                      <w:szCs w:val="22"/>
                    </w:rPr>
                  </w:pPr>
                  <w:r w:rsidRPr="00C55ADB">
                    <w:rPr>
                      <w:rFonts w:ascii="Arial" w:hAnsi="Arial" w:cs="Arial"/>
                      <w:bCs/>
                      <w:sz w:val="22"/>
                      <w:szCs w:val="22"/>
                    </w:rPr>
                    <w:t>$12.0 million</w:t>
                  </w:r>
                </w:p>
              </w:tc>
            </w:tr>
            <w:tr w:rsidR="00291BEF" w:rsidRPr="00C55ADB" w14:paraId="601382CC" w14:textId="77777777">
              <w:tc>
                <w:tcPr>
                  <w:tcW w:w="2368" w:type="dxa"/>
                  <w:tcMar>
                    <w:top w:w="80" w:type="dxa"/>
                    <w:left w:w="80" w:type="dxa"/>
                    <w:bottom w:w="80" w:type="dxa"/>
                    <w:right w:w="80" w:type="dxa"/>
                  </w:tcMar>
                  <w:hideMark/>
                </w:tcPr>
                <w:p w14:paraId="728AE213" w14:textId="77777777" w:rsidR="00291BEF" w:rsidRPr="00C55ADB" w:rsidRDefault="00291BEF">
                  <w:pPr>
                    <w:suppressAutoHyphens w:val="0"/>
                    <w:spacing w:before="120" w:after="120"/>
                    <w:rPr>
                      <w:rFonts w:ascii="Arial" w:hAnsi="Arial" w:cs="Arial"/>
                      <w:b/>
                      <w:bCs/>
                      <w:sz w:val="22"/>
                      <w:szCs w:val="22"/>
                    </w:rPr>
                  </w:pPr>
                  <w:r w:rsidRPr="00C55ADB">
                    <w:rPr>
                      <w:rFonts w:ascii="Arial" w:hAnsi="Arial" w:cs="Arial"/>
                      <w:b/>
                      <w:bCs/>
                      <w:sz w:val="22"/>
                      <w:szCs w:val="22"/>
                    </w:rPr>
                    <w:t xml:space="preserve">Deficit </w:t>
                  </w:r>
                </w:p>
              </w:tc>
              <w:tc>
                <w:tcPr>
                  <w:tcW w:w="1773" w:type="dxa"/>
                  <w:tcMar>
                    <w:top w:w="80" w:type="dxa"/>
                    <w:left w:w="80" w:type="dxa"/>
                    <w:bottom w:w="80" w:type="dxa"/>
                    <w:right w:w="80" w:type="dxa"/>
                  </w:tcMar>
                  <w:hideMark/>
                </w:tcPr>
                <w:p w14:paraId="550FF414" w14:textId="77777777" w:rsidR="00291BEF" w:rsidRPr="00C55ADB" w:rsidRDefault="00291BEF">
                  <w:pPr>
                    <w:suppressAutoHyphens w:val="0"/>
                    <w:spacing w:before="120" w:after="120"/>
                    <w:rPr>
                      <w:rFonts w:ascii="Arial" w:hAnsi="Arial" w:cs="Arial"/>
                      <w:bCs/>
                      <w:sz w:val="22"/>
                      <w:szCs w:val="22"/>
                    </w:rPr>
                  </w:pPr>
                  <w:r w:rsidRPr="00C55ADB">
                    <w:rPr>
                      <w:rFonts w:ascii="Arial" w:hAnsi="Arial" w:cs="Arial"/>
                      <w:bCs/>
                      <w:sz w:val="22"/>
                      <w:szCs w:val="22"/>
                    </w:rPr>
                    <w:t>$0.5 million</w:t>
                  </w:r>
                </w:p>
              </w:tc>
            </w:tr>
          </w:tbl>
          <w:p w14:paraId="678DBCA6" w14:textId="77777777" w:rsidR="00291BEF" w:rsidRPr="00C55ADB" w:rsidRDefault="00291BEF">
            <w:pPr>
              <w:suppressAutoHyphens w:val="0"/>
              <w:spacing w:before="120" w:after="120"/>
              <w:rPr>
                <w:rFonts w:ascii="Arial" w:hAnsi="Arial"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
              <w:tblDescription w:val=""/>
            </w:tblPr>
            <w:tblGrid>
              <w:gridCol w:w="1778"/>
              <w:gridCol w:w="2135"/>
            </w:tblGrid>
            <w:tr w:rsidR="00291BEF" w:rsidRPr="00C55ADB" w14:paraId="18333ECA" w14:textId="77777777">
              <w:tc>
                <w:tcPr>
                  <w:tcW w:w="1778" w:type="dxa"/>
                  <w:tcMar>
                    <w:top w:w="80" w:type="dxa"/>
                    <w:left w:w="80" w:type="dxa"/>
                    <w:bottom w:w="80" w:type="dxa"/>
                    <w:right w:w="80" w:type="dxa"/>
                  </w:tcMar>
                  <w:hideMark/>
                </w:tcPr>
                <w:p w14:paraId="438B25C3" w14:textId="77777777" w:rsidR="00291BEF" w:rsidRPr="00C55ADB" w:rsidRDefault="00291BEF">
                  <w:pPr>
                    <w:suppressAutoHyphens w:val="0"/>
                    <w:spacing w:before="120" w:after="120"/>
                    <w:rPr>
                      <w:rFonts w:ascii="Arial" w:hAnsi="Arial" w:cs="Arial"/>
                      <w:bCs/>
                      <w:sz w:val="22"/>
                      <w:szCs w:val="22"/>
                    </w:rPr>
                  </w:pPr>
                  <w:r w:rsidRPr="00C55ADB">
                    <w:rPr>
                      <w:rFonts w:ascii="Arial" w:hAnsi="Arial" w:cs="Arial"/>
                      <w:b/>
                      <w:bCs/>
                      <w:sz w:val="22"/>
                      <w:szCs w:val="22"/>
                    </w:rPr>
                    <w:t>Financial Position Headlines</w:t>
                  </w:r>
                </w:p>
              </w:tc>
              <w:tc>
                <w:tcPr>
                  <w:tcW w:w="2135" w:type="dxa"/>
                  <w:tcMar>
                    <w:top w:w="80" w:type="dxa"/>
                    <w:left w:w="80" w:type="dxa"/>
                    <w:bottom w:w="80" w:type="dxa"/>
                    <w:right w:w="80" w:type="dxa"/>
                  </w:tcMar>
                  <w:hideMark/>
                </w:tcPr>
                <w:p w14:paraId="4C34948A" w14:textId="77777777" w:rsidR="00291BEF" w:rsidRPr="00C55ADB" w:rsidRDefault="00291BEF">
                  <w:pPr>
                    <w:suppressAutoHyphens w:val="0"/>
                    <w:spacing w:before="120" w:after="120"/>
                    <w:rPr>
                      <w:rFonts w:ascii="Arial" w:hAnsi="Arial" w:cs="Arial"/>
                      <w:bCs/>
                      <w:sz w:val="22"/>
                      <w:szCs w:val="22"/>
                    </w:rPr>
                  </w:pPr>
                  <w:r w:rsidRPr="00C55ADB">
                    <w:rPr>
                      <w:rFonts w:ascii="Arial" w:hAnsi="Arial" w:cs="Arial"/>
                      <w:b/>
                      <w:bCs/>
                      <w:sz w:val="22"/>
                      <w:szCs w:val="22"/>
                    </w:rPr>
                    <w:t>2025 results</w:t>
                  </w:r>
                </w:p>
              </w:tc>
            </w:tr>
            <w:tr w:rsidR="00291BEF" w:rsidRPr="00C55ADB" w14:paraId="684C1BC7" w14:textId="77777777">
              <w:tc>
                <w:tcPr>
                  <w:tcW w:w="1778" w:type="dxa"/>
                  <w:tcMar>
                    <w:top w:w="80" w:type="dxa"/>
                    <w:left w:w="80" w:type="dxa"/>
                    <w:bottom w:w="80" w:type="dxa"/>
                    <w:right w:w="80" w:type="dxa"/>
                  </w:tcMar>
                  <w:hideMark/>
                </w:tcPr>
                <w:p w14:paraId="00FC77E5" w14:textId="77777777" w:rsidR="00291BEF" w:rsidRPr="00C55ADB" w:rsidRDefault="00291BEF">
                  <w:pPr>
                    <w:suppressAutoHyphens w:val="0"/>
                    <w:spacing w:before="120" w:after="120"/>
                    <w:rPr>
                      <w:rFonts w:ascii="Arial" w:hAnsi="Arial" w:cs="Arial"/>
                      <w:bCs/>
                      <w:sz w:val="22"/>
                      <w:szCs w:val="22"/>
                    </w:rPr>
                  </w:pPr>
                  <w:r w:rsidRPr="00C55ADB">
                    <w:rPr>
                      <w:rFonts w:ascii="Arial" w:hAnsi="Arial" w:cs="Arial"/>
                      <w:bCs/>
                      <w:sz w:val="22"/>
                      <w:szCs w:val="22"/>
                    </w:rPr>
                    <w:t>Total Assets</w:t>
                  </w:r>
                </w:p>
              </w:tc>
              <w:tc>
                <w:tcPr>
                  <w:tcW w:w="2135" w:type="dxa"/>
                  <w:tcMar>
                    <w:top w:w="80" w:type="dxa"/>
                    <w:left w:w="80" w:type="dxa"/>
                    <w:bottom w:w="80" w:type="dxa"/>
                    <w:right w:w="80" w:type="dxa"/>
                  </w:tcMar>
                  <w:hideMark/>
                </w:tcPr>
                <w:p w14:paraId="70903B9E" w14:textId="77777777" w:rsidR="00291BEF" w:rsidRPr="00C55ADB" w:rsidRDefault="00291BEF">
                  <w:pPr>
                    <w:suppressAutoHyphens w:val="0"/>
                    <w:spacing w:before="120" w:after="120"/>
                    <w:rPr>
                      <w:rFonts w:ascii="Arial" w:hAnsi="Arial" w:cs="Arial"/>
                      <w:bCs/>
                      <w:sz w:val="22"/>
                      <w:szCs w:val="22"/>
                    </w:rPr>
                  </w:pPr>
                  <w:r w:rsidRPr="00C55ADB">
                    <w:rPr>
                      <w:rFonts w:ascii="Arial" w:hAnsi="Arial" w:cs="Arial"/>
                      <w:bCs/>
                      <w:sz w:val="22"/>
                      <w:szCs w:val="22"/>
                    </w:rPr>
                    <w:t>$9.3 million</w:t>
                  </w:r>
                </w:p>
              </w:tc>
            </w:tr>
            <w:tr w:rsidR="00291BEF" w:rsidRPr="00C55ADB" w14:paraId="53045B8A" w14:textId="77777777">
              <w:tc>
                <w:tcPr>
                  <w:tcW w:w="1778" w:type="dxa"/>
                  <w:tcMar>
                    <w:top w:w="80" w:type="dxa"/>
                    <w:left w:w="80" w:type="dxa"/>
                    <w:bottom w:w="80" w:type="dxa"/>
                    <w:right w:w="80" w:type="dxa"/>
                  </w:tcMar>
                  <w:hideMark/>
                </w:tcPr>
                <w:p w14:paraId="4AD27E94" w14:textId="77777777" w:rsidR="00291BEF" w:rsidRPr="00C55ADB" w:rsidRDefault="00291BEF">
                  <w:pPr>
                    <w:suppressAutoHyphens w:val="0"/>
                    <w:spacing w:before="120" w:after="120"/>
                    <w:rPr>
                      <w:rFonts w:ascii="Arial" w:hAnsi="Arial" w:cs="Arial"/>
                      <w:bCs/>
                      <w:sz w:val="22"/>
                      <w:szCs w:val="22"/>
                    </w:rPr>
                  </w:pPr>
                  <w:r w:rsidRPr="00C55ADB">
                    <w:rPr>
                      <w:rFonts w:ascii="Arial" w:hAnsi="Arial" w:cs="Arial"/>
                      <w:bCs/>
                      <w:sz w:val="22"/>
                      <w:szCs w:val="22"/>
                    </w:rPr>
                    <w:t>Total Liabilities</w:t>
                  </w:r>
                </w:p>
              </w:tc>
              <w:tc>
                <w:tcPr>
                  <w:tcW w:w="2135" w:type="dxa"/>
                  <w:tcMar>
                    <w:top w:w="80" w:type="dxa"/>
                    <w:left w:w="80" w:type="dxa"/>
                    <w:bottom w:w="80" w:type="dxa"/>
                    <w:right w:w="80" w:type="dxa"/>
                  </w:tcMar>
                  <w:hideMark/>
                </w:tcPr>
                <w:p w14:paraId="084ED314" w14:textId="77777777" w:rsidR="00291BEF" w:rsidRPr="00C55ADB" w:rsidRDefault="00291BEF">
                  <w:pPr>
                    <w:suppressAutoHyphens w:val="0"/>
                    <w:spacing w:before="120" w:after="120"/>
                    <w:rPr>
                      <w:rFonts w:ascii="Arial" w:hAnsi="Arial" w:cs="Arial"/>
                      <w:bCs/>
                      <w:sz w:val="22"/>
                      <w:szCs w:val="22"/>
                    </w:rPr>
                  </w:pPr>
                  <w:r w:rsidRPr="00C55ADB">
                    <w:rPr>
                      <w:rFonts w:ascii="Arial" w:hAnsi="Arial" w:cs="Arial"/>
                      <w:bCs/>
                      <w:sz w:val="22"/>
                      <w:szCs w:val="22"/>
                    </w:rPr>
                    <w:t>$1.2 Million</w:t>
                  </w:r>
                </w:p>
              </w:tc>
            </w:tr>
            <w:tr w:rsidR="00291BEF" w:rsidRPr="00C55ADB" w14:paraId="0A20F12E" w14:textId="77777777">
              <w:tc>
                <w:tcPr>
                  <w:tcW w:w="1778" w:type="dxa"/>
                  <w:tcMar>
                    <w:top w:w="80" w:type="dxa"/>
                    <w:left w:w="80" w:type="dxa"/>
                    <w:bottom w:w="80" w:type="dxa"/>
                    <w:right w:w="80" w:type="dxa"/>
                  </w:tcMar>
                  <w:hideMark/>
                </w:tcPr>
                <w:p w14:paraId="69389C97" w14:textId="77777777" w:rsidR="00291BEF" w:rsidRPr="00C55ADB" w:rsidRDefault="00291BEF">
                  <w:pPr>
                    <w:suppressAutoHyphens w:val="0"/>
                    <w:spacing w:before="120" w:after="120"/>
                    <w:rPr>
                      <w:rFonts w:ascii="Arial" w:hAnsi="Arial" w:cs="Arial"/>
                      <w:b/>
                      <w:bCs/>
                      <w:sz w:val="22"/>
                      <w:szCs w:val="22"/>
                    </w:rPr>
                  </w:pPr>
                  <w:r w:rsidRPr="00C55ADB">
                    <w:rPr>
                      <w:rFonts w:ascii="Arial" w:hAnsi="Arial" w:cs="Arial"/>
                      <w:b/>
                      <w:bCs/>
                      <w:sz w:val="22"/>
                      <w:szCs w:val="22"/>
                    </w:rPr>
                    <w:t xml:space="preserve">Equity </w:t>
                  </w:r>
                </w:p>
              </w:tc>
              <w:tc>
                <w:tcPr>
                  <w:tcW w:w="2135" w:type="dxa"/>
                  <w:tcMar>
                    <w:top w:w="80" w:type="dxa"/>
                    <w:left w:w="80" w:type="dxa"/>
                    <w:bottom w:w="80" w:type="dxa"/>
                    <w:right w:w="80" w:type="dxa"/>
                  </w:tcMar>
                  <w:hideMark/>
                </w:tcPr>
                <w:p w14:paraId="3BDC366E" w14:textId="77777777" w:rsidR="00291BEF" w:rsidRPr="00C55ADB" w:rsidRDefault="00291BEF">
                  <w:pPr>
                    <w:suppressAutoHyphens w:val="0"/>
                    <w:spacing w:before="120" w:after="120"/>
                    <w:rPr>
                      <w:rFonts w:ascii="Arial" w:hAnsi="Arial" w:cs="Arial"/>
                      <w:bCs/>
                      <w:sz w:val="22"/>
                      <w:szCs w:val="22"/>
                    </w:rPr>
                  </w:pPr>
                  <w:r w:rsidRPr="00C55ADB">
                    <w:rPr>
                      <w:rFonts w:ascii="Arial" w:hAnsi="Arial" w:cs="Arial"/>
                      <w:bCs/>
                      <w:sz w:val="22"/>
                      <w:szCs w:val="22"/>
                    </w:rPr>
                    <w:t>$8.0 million</w:t>
                  </w:r>
                </w:p>
              </w:tc>
            </w:tr>
          </w:tbl>
          <w:p w14:paraId="2CD135AC" w14:textId="77777777" w:rsidR="00291BEF" w:rsidRPr="00C55ADB" w:rsidRDefault="00291BEF">
            <w:pPr>
              <w:suppressAutoHyphens w:val="0"/>
              <w:spacing w:before="120" w:after="120"/>
              <w:rPr>
                <w:rFonts w:ascii="Arial" w:hAnsi="Arial" w:cs="Arial"/>
                <w:bCs/>
                <w:sz w:val="22"/>
                <w:szCs w:val="22"/>
              </w:rPr>
            </w:pPr>
          </w:p>
        </w:tc>
      </w:tr>
      <w:tr w:rsidR="00291BEF" w:rsidRPr="00C55ADB" w14:paraId="0F128BC1" w14:textId="77777777">
        <w:trPr>
          <w:trHeight w:val="454"/>
        </w:trPr>
        <w:tc>
          <w:tcPr>
            <w:tcW w:w="1819" w:type="dxa"/>
            <w:vMerge/>
          </w:tcPr>
          <w:p w14:paraId="61D22F81" w14:textId="77777777" w:rsidR="00291BEF" w:rsidRPr="00C55ADB" w:rsidRDefault="00291BEF">
            <w:pPr>
              <w:suppressAutoHyphens w:val="0"/>
              <w:rPr>
                <w:rFonts w:ascii="Arial" w:hAnsi="Arial" w:cs="Arial"/>
                <w:b/>
                <w:sz w:val="22"/>
                <w:szCs w:val="22"/>
              </w:rPr>
            </w:pPr>
          </w:p>
        </w:tc>
        <w:tc>
          <w:tcPr>
            <w:tcW w:w="1525" w:type="dxa"/>
          </w:tcPr>
          <w:p w14:paraId="57756238" w14:textId="77777777" w:rsidR="00291BEF" w:rsidRPr="00C55ADB" w:rsidRDefault="00291BEF">
            <w:pPr>
              <w:suppressAutoHyphens w:val="0"/>
              <w:spacing w:before="120" w:after="120"/>
              <w:rPr>
                <w:rFonts w:ascii="Arial" w:hAnsi="Arial" w:cs="Arial"/>
                <w:sz w:val="22"/>
                <w:szCs w:val="22"/>
              </w:rPr>
            </w:pPr>
            <w:r w:rsidRPr="00C55ADB">
              <w:rPr>
                <w:rFonts w:ascii="Arial" w:hAnsi="Arial" w:cs="Arial"/>
                <w:sz w:val="22"/>
                <w:szCs w:val="22"/>
              </w:rPr>
              <w:t>Quality rating:</w:t>
            </w:r>
          </w:p>
        </w:tc>
        <w:tc>
          <w:tcPr>
            <w:tcW w:w="6337" w:type="dxa"/>
          </w:tcPr>
          <w:p w14:paraId="4D45EFEF" w14:textId="77777777" w:rsidR="00291BEF" w:rsidRPr="00C55ADB" w:rsidRDefault="00291BEF">
            <w:pPr>
              <w:suppressAutoHyphens w:val="0"/>
              <w:spacing w:before="120" w:after="120"/>
              <w:rPr>
                <w:rFonts w:ascii="Arial" w:hAnsi="Arial" w:cs="Arial"/>
                <w:bCs/>
                <w:sz w:val="22"/>
                <w:szCs w:val="22"/>
              </w:rPr>
            </w:pPr>
            <w:r w:rsidRPr="00BA389A">
              <w:rPr>
                <w:rFonts w:ascii="Arial" w:hAnsi="Arial" w:cs="Arial"/>
                <w:sz w:val="22"/>
                <w:szCs w:val="18"/>
              </w:rPr>
              <w:t>Marginal</w:t>
            </w:r>
          </w:p>
        </w:tc>
      </w:tr>
      <w:tr w:rsidR="00291BEF" w:rsidRPr="00C55ADB" w14:paraId="59FACA22" w14:textId="77777777">
        <w:trPr>
          <w:trHeight w:val="454"/>
        </w:trPr>
        <w:tc>
          <w:tcPr>
            <w:tcW w:w="1819" w:type="dxa"/>
            <w:vMerge/>
          </w:tcPr>
          <w:p w14:paraId="55881C1E" w14:textId="77777777" w:rsidR="00291BEF" w:rsidRPr="00C55ADB" w:rsidRDefault="00291BEF">
            <w:pPr>
              <w:suppressAutoHyphens w:val="0"/>
              <w:rPr>
                <w:rFonts w:ascii="Arial" w:hAnsi="Arial" w:cs="Arial"/>
                <w:b/>
                <w:sz w:val="22"/>
                <w:szCs w:val="22"/>
              </w:rPr>
            </w:pPr>
          </w:p>
        </w:tc>
        <w:tc>
          <w:tcPr>
            <w:tcW w:w="1525" w:type="dxa"/>
          </w:tcPr>
          <w:p w14:paraId="61AB7CCB" w14:textId="77777777" w:rsidR="00291BEF" w:rsidRPr="00C55ADB" w:rsidRDefault="00291BEF">
            <w:pPr>
              <w:suppressAutoHyphens w:val="0"/>
              <w:spacing w:before="120" w:after="120"/>
              <w:rPr>
                <w:rFonts w:ascii="Arial" w:hAnsi="Arial" w:cs="Arial"/>
                <w:sz w:val="22"/>
                <w:szCs w:val="22"/>
              </w:rPr>
            </w:pPr>
            <w:r w:rsidRPr="00C55ADB">
              <w:rPr>
                <w:rFonts w:ascii="Arial" w:hAnsi="Arial" w:cs="Arial"/>
                <w:sz w:val="22"/>
                <w:szCs w:val="22"/>
              </w:rPr>
              <w:t>Assessment rationale summary:</w:t>
            </w:r>
          </w:p>
        </w:tc>
        <w:tc>
          <w:tcPr>
            <w:tcW w:w="6337" w:type="dxa"/>
          </w:tcPr>
          <w:p w14:paraId="0ADF660B" w14:textId="77777777" w:rsidR="00291BEF" w:rsidRPr="00C55ADB" w:rsidRDefault="00291BEF">
            <w:pPr>
              <w:suppressAutoHyphens w:val="0"/>
              <w:spacing w:before="120" w:after="120"/>
              <w:rPr>
                <w:rFonts w:ascii="Arial" w:hAnsi="Arial" w:cs="Arial"/>
                <w:bCs/>
                <w:sz w:val="22"/>
                <w:szCs w:val="22"/>
              </w:rPr>
            </w:pPr>
            <w:r w:rsidRPr="00C55ADB">
              <w:rPr>
                <w:rFonts w:ascii="Arial" w:hAnsi="Arial" w:cs="Arial"/>
                <w:bCs/>
                <w:sz w:val="22"/>
                <w:szCs w:val="22"/>
              </w:rPr>
              <w:t xml:space="preserve">We rate this as a marginal report for the following </w:t>
            </w:r>
            <w:proofErr w:type="gramStart"/>
            <w:r w:rsidRPr="00C55ADB">
              <w:rPr>
                <w:rFonts w:ascii="Arial" w:hAnsi="Arial" w:cs="Arial"/>
                <w:bCs/>
                <w:sz w:val="22"/>
                <w:szCs w:val="22"/>
              </w:rPr>
              <w:t>reasons:;</w:t>
            </w:r>
            <w:proofErr w:type="gramEnd"/>
          </w:p>
          <w:p w14:paraId="375A75DC" w14:textId="77777777" w:rsidR="00291BEF" w:rsidRPr="00C55ADB" w:rsidRDefault="00291BEF" w:rsidP="00291BEF">
            <w:pPr>
              <w:numPr>
                <w:ilvl w:val="0"/>
                <w:numId w:val="30"/>
              </w:numPr>
              <w:suppressAutoHyphens w:val="0"/>
              <w:spacing w:before="120" w:after="120"/>
              <w:rPr>
                <w:rFonts w:ascii="Arial" w:hAnsi="Arial" w:cs="Arial"/>
                <w:bCs/>
                <w:sz w:val="22"/>
                <w:szCs w:val="22"/>
              </w:rPr>
            </w:pPr>
            <w:r w:rsidRPr="00C55ADB">
              <w:rPr>
                <w:rFonts w:ascii="Arial" w:hAnsi="Arial" w:cs="Arial"/>
                <w:bCs/>
                <w:sz w:val="22"/>
                <w:szCs w:val="22"/>
              </w:rPr>
              <w:t xml:space="preserve">there is no Reo investment plan identified for the reserves, and with top heavy management roles and contractor expending there is no clear reason for running a financial </w:t>
            </w:r>
            <w:proofErr w:type="gramStart"/>
            <w:r w:rsidRPr="00C55ADB">
              <w:rPr>
                <w:rFonts w:ascii="Arial" w:hAnsi="Arial" w:cs="Arial"/>
                <w:bCs/>
                <w:sz w:val="22"/>
                <w:szCs w:val="22"/>
              </w:rPr>
              <w:t>deficit  -</w:t>
            </w:r>
            <w:proofErr w:type="gramEnd"/>
            <w:r w:rsidRPr="00C55ADB">
              <w:rPr>
                <w:rFonts w:ascii="Arial" w:hAnsi="Arial" w:cs="Arial"/>
                <w:bCs/>
                <w:sz w:val="22"/>
                <w:szCs w:val="22"/>
              </w:rPr>
              <w:t xml:space="preserve"> it looks like poor </w:t>
            </w:r>
            <w:proofErr w:type="gramStart"/>
            <w:r w:rsidRPr="00C55ADB">
              <w:rPr>
                <w:rFonts w:ascii="Arial" w:hAnsi="Arial" w:cs="Arial"/>
                <w:bCs/>
                <w:sz w:val="22"/>
                <w:szCs w:val="22"/>
              </w:rPr>
              <w:t>management;</w:t>
            </w:r>
            <w:proofErr w:type="gramEnd"/>
          </w:p>
          <w:p w14:paraId="246845CD" w14:textId="77777777" w:rsidR="00291BEF" w:rsidRPr="00C55ADB" w:rsidRDefault="00291BEF" w:rsidP="00291BEF">
            <w:pPr>
              <w:numPr>
                <w:ilvl w:val="0"/>
                <w:numId w:val="30"/>
              </w:numPr>
              <w:suppressAutoHyphens w:val="0"/>
              <w:spacing w:before="120" w:after="120"/>
              <w:rPr>
                <w:rFonts w:ascii="Arial" w:hAnsi="Arial" w:cs="Arial"/>
                <w:bCs/>
                <w:sz w:val="22"/>
                <w:szCs w:val="22"/>
              </w:rPr>
            </w:pPr>
            <w:r w:rsidRPr="00C55ADB">
              <w:rPr>
                <w:rFonts w:ascii="Arial" w:hAnsi="Arial" w:cs="Arial"/>
                <w:bCs/>
                <w:sz w:val="22"/>
                <w:szCs w:val="22"/>
              </w:rPr>
              <w:t xml:space="preserve">There remains a heavy work focus on the public sector – without any questioning of the relevance and usefulness of that: i.e. what if the agency did nothing to support other agencies and focused its efforts on helping Māori better use Te Reo?  The Commission looks to have mission drifted into a comfortable place with Wellington public sector colleagues.  (As examples look at what they consider to be their first task, and then their first area of performance – </w:t>
            </w:r>
            <w:proofErr w:type="spellStart"/>
            <w:r w:rsidRPr="00C55ADB">
              <w:rPr>
                <w:rFonts w:ascii="Arial" w:hAnsi="Arial" w:cs="Arial"/>
                <w:bCs/>
                <w:sz w:val="22"/>
                <w:szCs w:val="22"/>
              </w:rPr>
              <w:t>its</w:t>
            </w:r>
            <w:proofErr w:type="spellEnd"/>
            <w:r w:rsidRPr="00C55ADB">
              <w:rPr>
                <w:rFonts w:ascii="Arial" w:hAnsi="Arial" w:cs="Arial"/>
                <w:bCs/>
                <w:sz w:val="22"/>
                <w:szCs w:val="22"/>
              </w:rPr>
              <w:t xml:space="preserve"> all about the public sector not Māori.) </w:t>
            </w:r>
          </w:p>
          <w:p w14:paraId="4F4A8AE2" w14:textId="77777777" w:rsidR="00291BEF" w:rsidRPr="00C55ADB" w:rsidRDefault="00291BEF" w:rsidP="00291BEF">
            <w:pPr>
              <w:numPr>
                <w:ilvl w:val="0"/>
                <w:numId w:val="30"/>
              </w:numPr>
              <w:suppressAutoHyphens w:val="0"/>
              <w:spacing w:before="120" w:after="120"/>
              <w:rPr>
                <w:rFonts w:ascii="Arial" w:hAnsi="Arial" w:cs="Arial"/>
                <w:bCs/>
                <w:sz w:val="22"/>
                <w:szCs w:val="22"/>
              </w:rPr>
            </w:pPr>
            <w:r w:rsidRPr="00C55ADB">
              <w:rPr>
                <w:rFonts w:ascii="Arial" w:hAnsi="Arial" w:cs="Arial"/>
                <w:bCs/>
                <w:sz w:val="22"/>
                <w:szCs w:val="22"/>
              </w:rPr>
              <w:t>The report has numerous case-studies which do not immediately link well to the legislative functions of Te Taura Whiri.  This information distracts from clear and factual reporting on core functions and the delivery of those function.  For example, how many new translators/interpreters were licenced is unclear to us from this report (only the number being trained is given, and the statistics used in the tick box with this read as plain wrong).</w:t>
            </w:r>
          </w:p>
          <w:p w14:paraId="79BEEFE4" w14:textId="77777777" w:rsidR="00291BEF" w:rsidRPr="00C55ADB" w:rsidRDefault="00291BEF" w:rsidP="00291BEF">
            <w:pPr>
              <w:numPr>
                <w:ilvl w:val="0"/>
                <w:numId w:val="30"/>
              </w:numPr>
              <w:suppressAutoHyphens w:val="0"/>
              <w:spacing w:before="120" w:after="120"/>
              <w:rPr>
                <w:rFonts w:ascii="Arial" w:hAnsi="Arial" w:cs="Arial"/>
                <w:bCs/>
                <w:sz w:val="22"/>
                <w:szCs w:val="22"/>
              </w:rPr>
            </w:pPr>
            <w:r w:rsidRPr="00C55ADB">
              <w:rPr>
                <w:rFonts w:ascii="Arial" w:hAnsi="Arial" w:cs="Arial"/>
                <w:bCs/>
                <w:sz w:val="22"/>
                <w:szCs w:val="22"/>
              </w:rPr>
              <w:t>Aside from a heavy public sector focus this report tends to focus on generic language promotion events - who cares how many people signed into their website; it would be better to know how many people are learning Te Reo, (could they not complete the research on this?)</w:t>
            </w:r>
          </w:p>
          <w:p w14:paraId="2D05FE55" w14:textId="490D866D" w:rsidR="00291BEF" w:rsidRPr="00C55ADB" w:rsidRDefault="00291BEF">
            <w:pPr>
              <w:suppressAutoHyphens w:val="0"/>
              <w:spacing w:before="120" w:after="120"/>
              <w:rPr>
                <w:rFonts w:ascii="Arial" w:hAnsi="Arial" w:cs="Arial"/>
                <w:bCs/>
                <w:sz w:val="22"/>
                <w:szCs w:val="22"/>
              </w:rPr>
            </w:pPr>
            <w:r w:rsidRPr="00BA389A">
              <w:rPr>
                <w:rFonts w:ascii="Arial" w:hAnsi="Arial" w:cs="Arial"/>
                <w:sz w:val="22"/>
                <w:szCs w:val="18"/>
              </w:rPr>
              <w:t xml:space="preserve">In terms of core functions like co-ordinating the </w:t>
            </w:r>
            <w:proofErr w:type="spellStart"/>
            <w:r w:rsidRPr="00BA389A">
              <w:rPr>
                <w:rFonts w:ascii="Arial" w:hAnsi="Arial" w:cs="Arial"/>
                <w:sz w:val="22"/>
                <w:szCs w:val="18"/>
              </w:rPr>
              <w:t>Maihi</w:t>
            </w:r>
            <w:proofErr w:type="spellEnd"/>
            <w:r w:rsidRPr="00BA389A">
              <w:rPr>
                <w:rFonts w:ascii="Arial" w:hAnsi="Arial" w:cs="Arial"/>
                <w:sz w:val="22"/>
                <w:szCs w:val="18"/>
              </w:rPr>
              <w:t xml:space="preserve"> Karuna, strategic discussion is limited.  I.e. what was the impact of their work on the overall outcomes that Te Taura Whiri is seeking?  What are their ideas for a new strategy</w:t>
            </w:r>
            <w:r w:rsidR="00BA389A">
              <w:rPr>
                <w:rFonts w:ascii="Arial" w:hAnsi="Arial" w:cs="Arial"/>
                <w:sz w:val="22"/>
                <w:szCs w:val="18"/>
              </w:rPr>
              <w:t>.</w:t>
            </w:r>
          </w:p>
        </w:tc>
      </w:tr>
    </w:tbl>
    <w:p w14:paraId="5CD1EEE2" w14:textId="77777777" w:rsidR="008A7B40" w:rsidRDefault="008A7B40" w:rsidP="00512709">
      <w:pPr>
        <w:pStyle w:val="BodyText"/>
        <w:suppressAutoHyphens w:val="0"/>
        <w:rPr>
          <w:rFonts w:cs="Arial"/>
          <w:b/>
          <w:szCs w:val="24"/>
        </w:rPr>
      </w:pPr>
    </w:p>
    <w:tbl>
      <w:tblPr>
        <w:tblStyle w:val="TableGrid"/>
        <w:tblW w:w="0" w:type="auto"/>
        <w:tblInd w:w="-856" w:type="dxa"/>
        <w:tblLook w:val="04A0" w:firstRow="1" w:lastRow="0" w:firstColumn="1" w:lastColumn="0" w:noHBand="0" w:noVBand="1"/>
      </w:tblPr>
      <w:tblGrid>
        <w:gridCol w:w="1819"/>
        <w:gridCol w:w="1525"/>
        <w:gridCol w:w="6337"/>
      </w:tblGrid>
      <w:tr w:rsidR="00291BEF" w:rsidRPr="00C55ADB" w14:paraId="2299C51D" w14:textId="77777777">
        <w:trPr>
          <w:trHeight w:val="454"/>
        </w:trPr>
        <w:tc>
          <w:tcPr>
            <w:tcW w:w="1819" w:type="dxa"/>
            <w:vMerge w:val="restart"/>
          </w:tcPr>
          <w:p w14:paraId="7186B4F5" w14:textId="77777777" w:rsidR="00A436EF" w:rsidRPr="00C55ADB" w:rsidRDefault="00A436EF" w:rsidP="00A436EF">
            <w:pPr>
              <w:suppressAutoHyphens w:val="0"/>
              <w:spacing w:before="120"/>
              <w:rPr>
                <w:rFonts w:ascii="Arial" w:hAnsi="Arial" w:cs="Arial"/>
                <w:b/>
                <w:sz w:val="22"/>
                <w:szCs w:val="22"/>
              </w:rPr>
            </w:pPr>
            <w:r w:rsidRPr="00C55ADB">
              <w:rPr>
                <w:rFonts w:ascii="Arial" w:hAnsi="Arial" w:cs="Arial"/>
                <w:b/>
                <w:sz w:val="22"/>
                <w:szCs w:val="22"/>
              </w:rPr>
              <w:t>Te Reo Māori</w:t>
            </w:r>
          </w:p>
          <w:p w14:paraId="5EB55F1F" w14:textId="77777777" w:rsidR="00291BEF" w:rsidRPr="00C55ADB" w:rsidRDefault="00291BEF">
            <w:pPr>
              <w:suppressAutoHyphens w:val="0"/>
              <w:rPr>
                <w:rFonts w:ascii="Arial" w:hAnsi="Arial" w:cs="Arial"/>
                <w:b/>
                <w:sz w:val="22"/>
                <w:szCs w:val="22"/>
              </w:rPr>
            </w:pPr>
          </w:p>
          <w:p w14:paraId="6F0F07A5" w14:textId="77777777" w:rsidR="00291BEF" w:rsidRPr="00C55ADB" w:rsidRDefault="00291BEF">
            <w:pPr>
              <w:rPr>
                <w:rFonts w:ascii="Arial" w:hAnsi="Arial" w:cs="Arial"/>
                <w:b/>
                <w:sz w:val="22"/>
                <w:szCs w:val="22"/>
              </w:rPr>
            </w:pPr>
            <w:r w:rsidRPr="00C55ADB">
              <w:rPr>
                <w:rFonts w:ascii="Arial" w:hAnsi="Arial" w:cs="Arial"/>
                <w:b/>
                <w:sz w:val="22"/>
                <w:szCs w:val="22"/>
              </w:rPr>
              <w:t>Pānui 05/2026</w:t>
            </w:r>
          </w:p>
        </w:tc>
        <w:tc>
          <w:tcPr>
            <w:tcW w:w="1525" w:type="dxa"/>
          </w:tcPr>
          <w:p w14:paraId="2EA5278C" w14:textId="77777777" w:rsidR="00291BEF" w:rsidRPr="00C55ADB" w:rsidRDefault="00291BEF">
            <w:pPr>
              <w:suppressAutoHyphens w:val="0"/>
              <w:spacing w:before="120" w:after="120"/>
              <w:rPr>
                <w:rFonts w:ascii="Arial" w:hAnsi="Arial" w:cs="Arial"/>
                <w:i/>
                <w:sz w:val="22"/>
                <w:szCs w:val="22"/>
              </w:rPr>
            </w:pPr>
            <w:r w:rsidRPr="00C55ADB">
              <w:rPr>
                <w:rFonts w:ascii="Arial" w:hAnsi="Arial" w:cs="Arial"/>
                <w:b/>
                <w:sz w:val="22"/>
                <w:szCs w:val="22"/>
              </w:rPr>
              <w:t>Item:</w:t>
            </w:r>
          </w:p>
        </w:tc>
        <w:tc>
          <w:tcPr>
            <w:tcW w:w="6337" w:type="dxa"/>
          </w:tcPr>
          <w:p w14:paraId="10EB0133" w14:textId="77777777" w:rsidR="00291BEF" w:rsidRPr="00C55ADB" w:rsidRDefault="00291BEF">
            <w:pPr>
              <w:pStyle w:val="BodyText"/>
              <w:spacing w:before="120"/>
              <w:rPr>
                <w:rFonts w:cs="Arial"/>
                <w:sz w:val="22"/>
                <w:szCs w:val="22"/>
              </w:rPr>
            </w:pPr>
            <w:r w:rsidRPr="00BA389A">
              <w:rPr>
                <w:rFonts w:asciiTheme="majorHAnsi" w:hAnsiTheme="majorHAnsi"/>
                <w:b/>
                <w:sz w:val="22"/>
                <w:szCs w:val="18"/>
              </w:rPr>
              <w:t>Te Mātāwai – Pūrongo ā-Tau – 2024/2025</w:t>
            </w:r>
          </w:p>
        </w:tc>
      </w:tr>
      <w:tr w:rsidR="00291BEF" w:rsidRPr="00C55ADB" w14:paraId="01596A3D" w14:textId="77777777">
        <w:trPr>
          <w:trHeight w:val="454"/>
        </w:trPr>
        <w:tc>
          <w:tcPr>
            <w:tcW w:w="1819" w:type="dxa"/>
            <w:vMerge/>
          </w:tcPr>
          <w:p w14:paraId="002BBD3C" w14:textId="77777777" w:rsidR="00291BEF" w:rsidRPr="00C55ADB" w:rsidRDefault="00291BEF">
            <w:pPr>
              <w:rPr>
                <w:rFonts w:ascii="Arial" w:hAnsi="Arial" w:cs="Arial"/>
                <w:b/>
                <w:sz w:val="22"/>
                <w:szCs w:val="22"/>
              </w:rPr>
            </w:pPr>
          </w:p>
        </w:tc>
        <w:tc>
          <w:tcPr>
            <w:tcW w:w="1525" w:type="dxa"/>
          </w:tcPr>
          <w:p w14:paraId="29075627" w14:textId="77777777" w:rsidR="00291BEF" w:rsidRPr="00C55ADB" w:rsidRDefault="00291BEF">
            <w:pPr>
              <w:suppressAutoHyphens w:val="0"/>
              <w:spacing w:before="120" w:after="120"/>
              <w:rPr>
                <w:rFonts w:ascii="Arial" w:hAnsi="Arial" w:cs="Arial"/>
                <w:i/>
                <w:sz w:val="22"/>
                <w:szCs w:val="22"/>
              </w:rPr>
            </w:pPr>
            <w:r w:rsidRPr="00C55ADB">
              <w:rPr>
                <w:rFonts w:ascii="Arial" w:hAnsi="Arial" w:cs="Arial"/>
                <w:sz w:val="22"/>
                <w:szCs w:val="22"/>
              </w:rPr>
              <w:t>Publisher:</w:t>
            </w:r>
          </w:p>
        </w:tc>
        <w:tc>
          <w:tcPr>
            <w:tcW w:w="6337" w:type="dxa"/>
          </w:tcPr>
          <w:p w14:paraId="1980E838" w14:textId="77777777" w:rsidR="00291BEF" w:rsidRPr="00C55ADB" w:rsidRDefault="00291BEF">
            <w:pPr>
              <w:pStyle w:val="BodyText"/>
              <w:spacing w:before="120"/>
              <w:rPr>
                <w:rFonts w:cs="Arial"/>
                <w:sz w:val="22"/>
                <w:szCs w:val="22"/>
              </w:rPr>
            </w:pPr>
            <w:r w:rsidRPr="00BA389A">
              <w:rPr>
                <w:rFonts w:asciiTheme="majorHAnsi" w:hAnsiTheme="majorHAnsi"/>
                <w:b/>
                <w:sz w:val="22"/>
                <w:szCs w:val="18"/>
              </w:rPr>
              <w:t>Te Mātāwai</w:t>
            </w:r>
          </w:p>
        </w:tc>
      </w:tr>
      <w:tr w:rsidR="00291BEF" w:rsidRPr="00C55ADB" w14:paraId="5BCD365E" w14:textId="77777777">
        <w:trPr>
          <w:trHeight w:val="454"/>
        </w:trPr>
        <w:tc>
          <w:tcPr>
            <w:tcW w:w="1819" w:type="dxa"/>
            <w:vMerge/>
          </w:tcPr>
          <w:p w14:paraId="5E4D5AFC" w14:textId="77777777" w:rsidR="00291BEF" w:rsidRPr="00C55ADB" w:rsidRDefault="00291BEF">
            <w:pPr>
              <w:suppressAutoHyphens w:val="0"/>
              <w:rPr>
                <w:rFonts w:ascii="Arial" w:hAnsi="Arial" w:cs="Arial"/>
                <w:b/>
                <w:sz w:val="22"/>
                <w:szCs w:val="22"/>
              </w:rPr>
            </w:pPr>
          </w:p>
        </w:tc>
        <w:tc>
          <w:tcPr>
            <w:tcW w:w="1525" w:type="dxa"/>
          </w:tcPr>
          <w:p w14:paraId="58A8518F" w14:textId="77777777" w:rsidR="00291BEF" w:rsidRPr="00C55ADB" w:rsidRDefault="00291BEF">
            <w:pPr>
              <w:suppressAutoHyphens w:val="0"/>
              <w:spacing w:before="120" w:after="120"/>
              <w:rPr>
                <w:rFonts w:ascii="Arial" w:hAnsi="Arial" w:cs="Arial"/>
                <w:i/>
                <w:sz w:val="22"/>
                <w:szCs w:val="22"/>
              </w:rPr>
            </w:pPr>
            <w:r w:rsidRPr="00C55ADB">
              <w:rPr>
                <w:rFonts w:ascii="Arial" w:hAnsi="Arial" w:cs="Arial"/>
                <w:sz w:val="22"/>
                <w:szCs w:val="22"/>
              </w:rPr>
              <w:t>Content summary:</w:t>
            </w:r>
          </w:p>
        </w:tc>
        <w:tc>
          <w:tcPr>
            <w:tcW w:w="6337" w:type="dxa"/>
          </w:tcPr>
          <w:p w14:paraId="4C4DC25A" w14:textId="77777777" w:rsidR="00291BEF" w:rsidRPr="00C55ADB" w:rsidRDefault="00291BEF">
            <w:pPr>
              <w:suppressAutoHyphens w:val="0"/>
              <w:rPr>
                <w:rFonts w:ascii="Arial" w:hAnsi="Arial" w:cs="Arial"/>
                <w:sz w:val="22"/>
                <w:szCs w:val="22"/>
              </w:rPr>
            </w:pPr>
            <w:r w:rsidRPr="00C55ADB">
              <w:rPr>
                <w:rFonts w:ascii="Arial" w:hAnsi="Arial" w:cs="Arial"/>
                <w:sz w:val="22"/>
                <w:szCs w:val="22"/>
              </w:rPr>
              <w:t xml:space="preserve">Te Mātāwai (the newest of the Māori language entities), was established in 2016 by Te Ture mō te Reo Māori with a mandate to: </w:t>
            </w:r>
          </w:p>
          <w:p w14:paraId="5E25C3A5" w14:textId="77777777" w:rsidR="00291BEF" w:rsidRPr="00C55ADB" w:rsidRDefault="00291BEF">
            <w:pPr>
              <w:suppressAutoHyphens w:val="0"/>
              <w:rPr>
                <w:rFonts w:ascii="Arial" w:hAnsi="Arial" w:cs="Arial"/>
                <w:sz w:val="22"/>
                <w:szCs w:val="22"/>
              </w:rPr>
            </w:pPr>
          </w:p>
          <w:p w14:paraId="69CF7FAF" w14:textId="77777777" w:rsidR="00291BEF" w:rsidRPr="00C55ADB" w:rsidRDefault="00291BEF" w:rsidP="00291BEF">
            <w:pPr>
              <w:numPr>
                <w:ilvl w:val="0"/>
                <w:numId w:val="31"/>
              </w:numPr>
              <w:suppressAutoHyphens w:val="0"/>
              <w:ind w:left="320" w:hanging="295"/>
              <w:rPr>
                <w:rFonts w:ascii="Arial" w:hAnsi="Arial" w:cs="Arial"/>
                <w:sz w:val="22"/>
                <w:szCs w:val="22"/>
              </w:rPr>
            </w:pPr>
            <w:r w:rsidRPr="00C55ADB">
              <w:rPr>
                <w:rFonts w:ascii="Arial" w:hAnsi="Arial" w:cs="Arial"/>
                <w:sz w:val="22"/>
                <w:szCs w:val="22"/>
              </w:rPr>
              <w:t xml:space="preserve">provide leadership in promoting the health of te reo Māori for iwi and Māori; and </w:t>
            </w:r>
          </w:p>
          <w:p w14:paraId="5862483F" w14:textId="77777777" w:rsidR="00291BEF" w:rsidRPr="00C55ADB" w:rsidRDefault="00291BEF" w:rsidP="00291BEF">
            <w:pPr>
              <w:numPr>
                <w:ilvl w:val="0"/>
                <w:numId w:val="31"/>
              </w:numPr>
              <w:suppressAutoHyphens w:val="0"/>
              <w:ind w:left="320" w:hanging="295"/>
              <w:rPr>
                <w:rFonts w:ascii="Arial" w:hAnsi="Arial" w:cs="Arial"/>
                <w:sz w:val="22"/>
                <w:szCs w:val="22"/>
              </w:rPr>
            </w:pPr>
            <w:r w:rsidRPr="00C55ADB">
              <w:rPr>
                <w:rFonts w:ascii="Arial" w:hAnsi="Arial" w:cs="Arial"/>
                <w:sz w:val="22"/>
                <w:szCs w:val="22"/>
              </w:rPr>
              <w:t xml:space="preserve">support, inform and influence the Crown’s initiatives to promote the health of te reo </w:t>
            </w:r>
            <w:proofErr w:type="gramStart"/>
            <w:r w:rsidRPr="00C55ADB">
              <w:rPr>
                <w:rFonts w:ascii="Arial" w:hAnsi="Arial" w:cs="Arial"/>
                <w:sz w:val="22"/>
                <w:szCs w:val="22"/>
              </w:rPr>
              <w:t>Māori;</w:t>
            </w:r>
            <w:proofErr w:type="gramEnd"/>
          </w:p>
          <w:p w14:paraId="4D7A7366" w14:textId="77777777" w:rsidR="00291BEF" w:rsidRPr="00C55ADB" w:rsidRDefault="00291BEF" w:rsidP="00291BEF">
            <w:pPr>
              <w:numPr>
                <w:ilvl w:val="0"/>
                <w:numId w:val="31"/>
              </w:numPr>
              <w:suppressAutoHyphens w:val="0"/>
              <w:ind w:left="320" w:hanging="295"/>
              <w:rPr>
                <w:rFonts w:ascii="Arial" w:hAnsi="Arial" w:cs="Arial"/>
                <w:sz w:val="22"/>
                <w:szCs w:val="22"/>
              </w:rPr>
            </w:pPr>
            <w:r w:rsidRPr="00C55ADB">
              <w:rPr>
                <w:rFonts w:ascii="Arial" w:hAnsi="Arial" w:cs="Arial"/>
                <w:sz w:val="22"/>
                <w:szCs w:val="22"/>
              </w:rPr>
              <w:t>give effect to a Māori / Crown Te Reo relationship; and</w:t>
            </w:r>
          </w:p>
          <w:p w14:paraId="6DA9FA13" w14:textId="77777777" w:rsidR="00291BEF" w:rsidRPr="00C55ADB" w:rsidRDefault="00291BEF" w:rsidP="00291BEF">
            <w:pPr>
              <w:numPr>
                <w:ilvl w:val="0"/>
                <w:numId w:val="31"/>
              </w:numPr>
              <w:suppressAutoHyphens w:val="0"/>
              <w:ind w:left="320" w:hanging="295"/>
              <w:rPr>
                <w:rFonts w:ascii="Arial" w:hAnsi="Arial" w:cs="Arial"/>
                <w:sz w:val="22"/>
                <w:szCs w:val="22"/>
              </w:rPr>
            </w:pPr>
            <w:r w:rsidRPr="00C55ADB">
              <w:rPr>
                <w:rFonts w:ascii="Arial" w:hAnsi="Arial" w:cs="Arial"/>
                <w:sz w:val="22"/>
                <w:szCs w:val="22"/>
              </w:rPr>
              <w:t xml:space="preserve">with delegated Ministers provide oversight of </w:t>
            </w:r>
            <w:proofErr w:type="spellStart"/>
            <w:r w:rsidRPr="00C55ADB">
              <w:rPr>
                <w:rFonts w:ascii="Arial" w:hAnsi="Arial" w:cs="Arial"/>
                <w:sz w:val="22"/>
                <w:szCs w:val="22"/>
              </w:rPr>
              <w:t>Whakaata</w:t>
            </w:r>
            <w:proofErr w:type="spellEnd"/>
            <w:r w:rsidRPr="00C55ADB">
              <w:rPr>
                <w:rFonts w:ascii="Arial" w:hAnsi="Arial" w:cs="Arial"/>
                <w:sz w:val="22"/>
                <w:szCs w:val="22"/>
              </w:rPr>
              <w:t xml:space="preserve"> Māori</w:t>
            </w:r>
            <w:r w:rsidRPr="00C55ADB">
              <w:rPr>
                <w:rFonts w:ascii="Arial" w:hAnsi="Arial" w:cs="Arial"/>
                <w:sz w:val="22"/>
                <w:szCs w:val="22"/>
                <w:vertAlign w:val="superscript"/>
              </w:rPr>
              <w:footnoteReference w:id="7"/>
            </w:r>
            <w:r w:rsidRPr="00C55ADB">
              <w:rPr>
                <w:rFonts w:ascii="Arial" w:hAnsi="Arial" w:cs="Arial"/>
                <w:sz w:val="22"/>
                <w:szCs w:val="22"/>
              </w:rPr>
              <w:t xml:space="preserve">. </w:t>
            </w:r>
          </w:p>
          <w:p w14:paraId="2CEBABEE" w14:textId="77777777" w:rsidR="00291BEF" w:rsidRPr="00C55ADB" w:rsidRDefault="00291BEF">
            <w:pPr>
              <w:suppressAutoHyphens w:val="0"/>
              <w:ind w:left="320"/>
              <w:rPr>
                <w:rFonts w:ascii="Arial" w:hAnsi="Arial" w:cs="Arial"/>
                <w:sz w:val="22"/>
                <w:szCs w:val="22"/>
              </w:rPr>
            </w:pPr>
          </w:p>
          <w:p w14:paraId="682F9B35" w14:textId="77777777" w:rsidR="00291BEF" w:rsidRPr="00C55ADB" w:rsidRDefault="00291BEF">
            <w:pPr>
              <w:suppressAutoHyphens w:val="0"/>
              <w:rPr>
                <w:rFonts w:ascii="Arial" w:hAnsi="Arial" w:cs="Arial"/>
                <w:sz w:val="22"/>
                <w:szCs w:val="22"/>
              </w:rPr>
            </w:pPr>
            <w:r w:rsidRPr="00C55ADB">
              <w:rPr>
                <w:rFonts w:ascii="Arial" w:hAnsi="Arial" w:cs="Arial"/>
                <w:sz w:val="22"/>
                <w:szCs w:val="22"/>
              </w:rPr>
              <w:t>In 2024/25, it received circa $18m from the Government (and interest earnings) to support its work, of which $13.8m was distributed for ‘</w:t>
            </w:r>
            <w:proofErr w:type="spellStart"/>
            <w:r w:rsidRPr="00C55ADB">
              <w:rPr>
                <w:rFonts w:ascii="Arial" w:hAnsi="Arial" w:cs="Arial"/>
                <w:sz w:val="22"/>
                <w:szCs w:val="22"/>
              </w:rPr>
              <w:t>kāinga</w:t>
            </w:r>
            <w:proofErr w:type="spellEnd"/>
            <w:r w:rsidRPr="00C55ADB">
              <w:rPr>
                <w:rFonts w:ascii="Arial" w:hAnsi="Arial" w:cs="Arial"/>
                <w:sz w:val="22"/>
                <w:szCs w:val="22"/>
              </w:rPr>
              <w:t xml:space="preserve">, hapori and iwi Māori language investment’ through its regional and sector networks. </w:t>
            </w:r>
          </w:p>
          <w:p w14:paraId="0562209E" w14:textId="77777777" w:rsidR="00291BEF" w:rsidRPr="00C55ADB" w:rsidRDefault="00291BEF">
            <w:pPr>
              <w:suppressAutoHyphens w:val="0"/>
              <w:rPr>
                <w:rFonts w:ascii="Arial" w:hAnsi="Arial" w:cs="Arial"/>
                <w:sz w:val="22"/>
                <w:szCs w:val="22"/>
              </w:rPr>
            </w:pPr>
          </w:p>
          <w:p w14:paraId="2089F124" w14:textId="77777777" w:rsidR="00291BEF" w:rsidRPr="00C55ADB" w:rsidRDefault="00291BEF">
            <w:pPr>
              <w:suppressAutoHyphens w:val="0"/>
              <w:rPr>
                <w:rFonts w:ascii="Arial" w:hAnsi="Arial" w:cs="Arial"/>
                <w:sz w:val="22"/>
                <w:szCs w:val="22"/>
              </w:rPr>
            </w:pPr>
            <w:r w:rsidRPr="00C55ADB">
              <w:rPr>
                <w:rFonts w:ascii="Arial" w:hAnsi="Arial" w:cs="Arial"/>
                <w:sz w:val="22"/>
                <w:szCs w:val="22"/>
              </w:rPr>
              <w:t xml:space="preserve">From the get-go in this report the Tumu </w:t>
            </w:r>
            <w:proofErr w:type="spellStart"/>
            <w:r w:rsidRPr="00C55ADB">
              <w:rPr>
                <w:rFonts w:ascii="Arial" w:hAnsi="Arial" w:cs="Arial"/>
                <w:sz w:val="22"/>
                <w:szCs w:val="22"/>
              </w:rPr>
              <w:t>Whakaae</w:t>
            </w:r>
            <w:proofErr w:type="spellEnd"/>
            <w:r w:rsidRPr="00C55ADB">
              <w:rPr>
                <w:rFonts w:ascii="Arial" w:hAnsi="Arial" w:cs="Arial"/>
                <w:sz w:val="22"/>
                <w:szCs w:val="22"/>
              </w:rPr>
              <w:t xml:space="preserve"> Kairīwhi, Karl Smith, acknowledges that there has been a review of the Māori language sector and from that a strong focus on community and intergenerational usage (Māori speaking Te Reo to each other and their children) is the desired focus on this sector.   Hence with that, Te Mātāwai is focused on community language initiatives, they write</w:t>
            </w:r>
          </w:p>
          <w:p w14:paraId="66F4BE34" w14:textId="77777777" w:rsidR="00291BEF" w:rsidRPr="00C55ADB" w:rsidRDefault="00291BEF">
            <w:pPr>
              <w:suppressAutoHyphens w:val="0"/>
              <w:rPr>
                <w:rFonts w:ascii="Arial" w:hAnsi="Arial" w:cs="Arial"/>
                <w:sz w:val="22"/>
                <w:szCs w:val="22"/>
              </w:rPr>
            </w:pPr>
          </w:p>
          <w:p w14:paraId="5631BFB5" w14:textId="77777777" w:rsidR="00291BEF" w:rsidRPr="00C55ADB" w:rsidRDefault="00291BEF">
            <w:pPr>
              <w:suppressAutoHyphens w:val="0"/>
              <w:ind w:left="320"/>
              <w:rPr>
                <w:rFonts w:ascii="Arial" w:hAnsi="Arial" w:cs="Arial"/>
                <w:sz w:val="22"/>
                <w:szCs w:val="22"/>
              </w:rPr>
            </w:pPr>
            <w:r w:rsidRPr="00C55ADB">
              <w:rPr>
                <w:rFonts w:ascii="Arial" w:hAnsi="Arial" w:cs="Arial"/>
                <w:i/>
                <w:iCs/>
                <w:sz w:val="22"/>
                <w:szCs w:val="22"/>
              </w:rPr>
              <w:t>“Te Mātāwai is focused on creating the conditions that allow our whānau, hapori, iwi, and Māori to develop their own solutions. It’s important to emphasise that while the goal of reinstating te reo Māori in the homes of all Māori people (whānau, hapū, and iwi) drives our efforts, we identify that we do not possess the solutions ourselves. Those solutions reside with our whānau, hapori, iwi, and Māori communities.” (Page 14)</w:t>
            </w:r>
          </w:p>
          <w:p w14:paraId="4D947565" w14:textId="77777777" w:rsidR="00291BEF" w:rsidRPr="00C55ADB" w:rsidRDefault="00291BEF">
            <w:pPr>
              <w:suppressAutoHyphens w:val="0"/>
              <w:rPr>
                <w:rFonts w:ascii="Arial" w:hAnsi="Arial" w:cs="Arial"/>
                <w:sz w:val="22"/>
                <w:szCs w:val="22"/>
              </w:rPr>
            </w:pPr>
          </w:p>
          <w:p w14:paraId="53687A15" w14:textId="77777777" w:rsidR="00291BEF" w:rsidRPr="00C55ADB" w:rsidRDefault="00291BEF">
            <w:pPr>
              <w:suppressAutoHyphens w:val="0"/>
              <w:rPr>
                <w:rFonts w:ascii="Arial" w:hAnsi="Arial" w:cs="Arial"/>
                <w:sz w:val="22"/>
                <w:szCs w:val="22"/>
              </w:rPr>
            </w:pPr>
            <w:r w:rsidRPr="00C55ADB">
              <w:rPr>
                <w:rFonts w:ascii="Arial" w:hAnsi="Arial" w:cs="Arial"/>
                <w:sz w:val="22"/>
                <w:szCs w:val="22"/>
              </w:rPr>
              <w:t>Linking to that the ‘highlights’ section (page 9) shows a large chunk of this community funding goes on wānanga with over 200 held, and that 96% of participant research agree that this work has a positive impact on intergenerational transmission.  To support that, Te Mātāwai itself undertakes a random sample of research of initiatives to assist in validating findings.</w:t>
            </w:r>
          </w:p>
          <w:p w14:paraId="6A206206" w14:textId="77777777" w:rsidR="00291BEF" w:rsidRPr="00C55ADB" w:rsidRDefault="00291BEF">
            <w:pPr>
              <w:suppressAutoHyphens w:val="0"/>
              <w:rPr>
                <w:rFonts w:ascii="Arial" w:hAnsi="Arial" w:cs="Arial"/>
                <w:sz w:val="22"/>
                <w:szCs w:val="22"/>
              </w:rPr>
            </w:pPr>
          </w:p>
          <w:p w14:paraId="775D7DAE" w14:textId="77777777" w:rsidR="00291BEF" w:rsidRPr="00C55ADB" w:rsidRDefault="00291BEF">
            <w:pPr>
              <w:suppressAutoHyphens w:val="0"/>
              <w:rPr>
                <w:rFonts w:ascii="Arial" w:hAnsi="Arial" w:cs="Arial"/>
                <w:sz w:val="22"/>
                <w:szCs w:val="22"/>
              </w:rPr>
            </w:pPr>
            <w:r w:rsidRPr="00C55ADB">
              <w:rPr>
                <w:rFonts w:ascii="Arial" w:hAnsi="Arial" w:cs="Arial"/>
                <w:sz w:val="22"/>
                <w:szCs w:val="22"/>
              </w:rPr>
              <w:t>A summary of key outcomes is reported on page 9; followed by a general discussion on reaching their preset language goals of 25%. (</w:t>
            </w:r>
            <w:proofErr w:type="gramStart"/>
            <w:r w:rsidRPr="00C55ADB">
              <w:rPr>
                <w:rFonts w:ascii="Arial" w:hAnsi="Arial" w:cs="Arial"/>
                <w:sz w:val="22"/>
                <w:szCs w:val="22"/>
              </w:rPr>
              <w:t>namely</w:t>
            </w:r>
            <w:proofErr w:type="gramEnd"/>
            <w:r w:rsidRPr="00C55ADB">
              <w:rPr>
                <w:rFonts w:ascii="Arial" w:hAnsi="Arial" w:cs="Arial"/>
                <w:sz w:val="22"/>
                <w:szCs w:val="22"/>
              </w:rPr>
              <w:t xml:space="preserve"> by 2040, 1 million people will be using Te Reo and 25% of tamariki Māori aged up to 7 will have Te Reo as their first language</w:t>
            </w:r>
            <w:proofErr w:type="gramStart"/>
            <w:r w:rsidRPr="00C55ADB">
              <w:rPr>
                <w:rFonts w:ascii="Arial" w:hAnsi="Arial" w:cs="Arial"/>
                <w:sz w:val="22"/>
                <w:szCs w:val="22"/>
              </w:rPr>
              <w:t>);</w:t>
            </w:r>
            <w:proofErr w:type="gramEnd"/>
          </w:p>
          <w:p w14:paraId="58AB85EE" w14:textId="77777777" w:rsidR="00291BEF" w:rsidRPr="00C55ADB" w:rsidRDefault="00291BEF">
            <w:pPr>
              <w:suppressAutoHyphens w:val="0"/>
              <w:rPr>
                <w:rFonts w:ascii="Arial" w:hAnsi="Arial" w:cs="Arial"/>
                <w:sz w:val="22"/>
                <w:szCs w:val="22"/>
              </w:rPr>
            </w:pPr>
          </w:p>
          <w:p w14:paraId="473DCFE8" w14:textId="77777777" w:rsidR="00291BEF" w:rsidRPr="00C55ADB" w:rsidRDefault="00291BEF">
            <w:pPr>
              <w:suppressAutoHyphens w:val="0"/>
              <w:rPr>
                <w:rFonts w:ascii="Arial" w:hAnsi="Arial" w:cs="Arial"/>
                <w:sz w:val="22"/>
                <w:szCs w:val="22"/>
                <w:lang w:val="en-NZ"/>
              </w:rPr>
            </w:pPr>
            <w:r w:rsidRPr="00C55ADB">
              <w:rPr>
                <w:rFonts w:ascii="Arial" w:hAnsi="Arial" w:cs="Arial"/>
                <w:sz w:val="22"/>
                <w:szCs w:val="22"/>
                <w:lang w:val="en-NZ"/>
              </w:rPr>
              <w:t xml:space="preserve">An outline of work undertaken follows, showing how it aligns to their </w:t>
            </w:r>
            <w:proofErr w:type="gramStart"/>
            <w:r w:rsidRPr="00C55ADB">
              <w:rPr>
                <w:rFonts w:ascii="Arial" w:hAnsi="Arial" w:cs="Arial"/>
                <w:sz w:val="22"/>
                <w:szCs w:val="22"/>
                <w:lang w:val="en-NZ"/>
              </w:rPr>
              <w:t>outcomes</w:t>
            </w:r>
            <w:proofErr w:type="gramEnd"/>
            <w:r w:rsidRPr="00C55ADB">
              <w:rPr>
                <w:rFonts w:ascii="Arial" w:hAnsi="Arial" w:cs="Arial"/>
                <w:sz w:val="22"/>
                <w:szCs w:val="22"/>
                <w:lang w:val="en-NZ"/>
              </w:rPr>
              <w:t xml:space="preserve"> framework.  The outcomes framework matches everything Te Mātāwai invests in against five desired shifts. The outcomes are: </w:t>
            </w:r>
          </w:p>
          <w:p w14:paraId="295DC5F5" w14:textId="77777777" w:rsidR="00291BEF" w:rsidRPr="00C55ADB" w:rsidRDefault="00291BEF" w:rsidP="00291BEF">
            <w:pPr>
              <w:numPr>
                <w:ilvl w:val="0"/>
                <w:numId w:val="32"/>
              </w:numPr>
              <w:suppressAutoHyphens w:val="0"/>
              <w:spacing w:after="120"/>
              <w:ind w:left="714" w:hanging="357"/>
              <w:rPr>
                <w:rFonts w:ascii="Arial" w:hAnsi="Arial" w:cs="Arial"/>
                <w:sz w:val="22"/>
                <w:szCs w:val="22"/>
              </w:rPr>
            </w:pPr>
            <w:r w:rsidRPr="00C55ADB">
              <w:rPr>
                <w:rFonts w:ascii="Arial" w:hAnsi="Arial" w:cs="Arial"/>
                <w:sz w:val="22"/>
                <w:szCs w:val="22"/>
              </w:rPr>
              <w:t>Whānau Wellbeing</w:t>
            </w:r>
          </w:p>
          <w:p w14:paraId="0D801735" w14:textId="77777777" w:rsidR="00291BEF" w:rsidRPr="00C55ADB" w:rsidRDefault="00291BEF" w:rsidP="00291BEF">
            <w:pPr>
              <w:numPr>
                <w:ilvl w:val="0"/>
                <w:numId w:val="32"/>
              </w:numPr>
              <w:suppressAutoHyphens w:val="0"/>
              <w:spacing w:after="120"/>
              <w:ind w:left="714" w:hanging="357"/>
              <w:rPr>
                <w:rFonts w:ascii="Arial" w:hAnsi="Arial" w:cs="Arial"/>
                <w:sz w:val="22"/>
                <w:szCs w:val="22"/>
              </w:rPr>
            </w:pPr>
            <w:r w:rsidRPr="00C55ADB">
              <w:rPr>
                <w:rFonts w:ascii="Arial" w:hAnsi="Arial" w:cs="Arial"/>
                <w:sz w:val="22"/>
                <w:szCs w:val="22"/>
              </w:rPr>
              <w:t>Intergenerational (language) Transmission</w:t>
            </w:r>
          </w:p>
          <w:p w14:paraId="0606FF82" w14:textId="77777777" w:rsidR="00291BEF" w:rsidRPr="00C55ADB" w:rsidRDefault="00291BEF" w:rsidP="00291BEF">
            <w:pPr>
              <w:numPr>
                <w:ilvl w:val="0"/>
                <w:numId w:val="32"/>
              </w:numPr>
              <w:suppressAutoHyphens w:val="0"/>
              <w:spacing w:after="120"/>
              <w:ind w:left="714" w:hanging="357"/>
              <w:rPr>
                <w:rFonts w:ascii="Arial" w:hAnsi="Arial" w:cs="Arial"/>
                <w:sz w:val="22"/>
                <w:szCs w:val="22"/>
              </w:rPr>
            </w:pPr>
            <w:r w:rsidRPr="00C55ADB">
              <w:rPr>
                <w:rFonts w:ascii="Arial" w:hAnsi="Arial" w:cs="Arial"/>
                <w:sz w:val="22"/>
                <w:szCs w:val="22"/>
              </w:rPr>
              <w:t>Immersion Domains</w:t>
            </w:r>
          </w:p>
          <w:p w14:paraId="5584DAFE" w14:textId="77777777" w:rsidR="00291BEF" w:rsidRPr="00C55ADB" w:rsidRDefault="00291BEF" w:rsidP="00291BEF">
            <w:pPr>
              <w:numPr>
                <w:ilvl w:val="0"/>
                <w:numId w:val="32"/>
              </w:numPr>
              <w:suppressAutoHyphens w:val="0"/>
              <w:spacing w:after="120"/>
              <w:ind w:left="714" w:hanging="357"/>
              <w:rPr>
                <w:rFonts w:ascii="Arial" w:hAnsi="Arial" w:cs="Arial"/>
                <w:sz w:val="22"/>
                <w:szCs w:val="22"/>
              </w:rPr>
            </w:pPr>
            <w:r w:rsidRPr="00C55ADB">
              <w:rPr>
                <w:rFonts w:ascii="Arial" w:hAnsi="Arial" w:cs="Arial"/>
                <w:sz w:val="22"/>
                <w:szCs w:val="22"/>
              </w:rPr>
              <w:t>Reo Movements</w:t>
            </w:r>
          </w:p>
          <w:p w14:paraId="64D22806" w14:textId="77777777" w:rsidR="00291BEF" w:rsidRPr="00C55ADB" w:rsidRDefault="00291BEF" w:rsidP="00291BEF">
            <w:pPr>
              <w:numPr>
                <w:ilvl w:val="0"/>
                <w:numId w:val="32"/>
              </w:numPr>
              <w:suppressAutoHyphens w:val="0"/>
              <w:spacing w:after="120"/>
              <w:ind w:left="714" w:hanging="357"/>
              <w:rPr>
                <w:rFonts w:ascii="Arial" w:hAnsi="Arial" w:cs="Arial"/>
                <w:sz w:val="22"/>
                <w:szCs w:val="22"/>
              </w:rPr>
            </w:pPr>
            <w:r w:rsidRPr="00C55ADB">
              <w:rPr>
                <w:rFonts w:ascii="Arial" w:hAnsi="Arial" w:cs="Arial"/>
                <w:sz w:val="22"/>
                <w:szCs w:val="22"/>
              </w:rPr>
              <w:t>Iwi Identity</w:t>
            </w:r>
          </w:p>
          <w:p w14:paraId="6D5661A4" w14:textId="77777777" w:rsidR="00291BEF" w:rsidRPr="00C55ADB" w:rsidRDefault="00291BEF">
            <w:pPr>
              <w:suppressAutoHyphens w:val="0"/>
              <w:rPr>
                <w:rFonts w:ascii="Arial" w:hAnsi="Arial" w:cs="Arial"/>
                <w:sz w:val="22"/>
                <w:szCs w:val="22"/>
              </w:rPr>
            </w:pPr>
            <w:r w:rsidRPr="00C55ADB">
              <w:rPr>
                <w:rFonts w:ascii="Arial" w:hAnsi="Arial" w:cs="Arial"/>
                <w:sz w:val="22"/>
                <w:szCs w:val="22"/>
              </w:rPr>
              <w:t>The Te Mātāwai annual report focuses largely on its work to distribute this local level funding for things such as Kura Reo, Wānanga Reo, local language planning and resource development (among other things).  But the five outcomes above are all reported as being progressed to varying degrees through these contracts (see page 33 for an outcome of results being progressed).</w:t>
            </w:r>
          </w:p>
          <w:p w14:paraId="25ECCD43" w14:textId="77777777" w:rsidR="00291BEF" w:rsidRPr="00C55ADB" w:rsidRDefault="00291BEF">
            <w:pPr>
              <w:suppressAutoHyphens w:val="0"/>
              <w:rPr>
                <w:rFonts w:ascii="Arial" w:hAnsi="Arial" w:cs="Arial"/>
                <w:sz w:val="22"/>
                <w:szCs w:val="22"/>
              </w:rPr>
            </w:pPr>
          </w:p>
          <w:p w14:paraId="088B4069" w14:textId="77777777" w:rsidR="00291BEF" w:rsidRPr="00C55ADB" w:rsidRDefault="00291BEF">
            <w:pPr>
              <w:suppressAutoHyphens w:val="0"/>
              <w:rPr>
                <w:rFonts w:ascii="Arial" w:hAnsi="Arial" w:cs="Arial"/>
                <w:sz w:val="22"/>
                <w:szCs w:val="22"/>
              </w:rPr>
            </w:pPr>
            <w:r w:rsidRPr="00C55ADB">
              <w:rPr>
                <w:rFonts w:ascii="Arial" w:hAnsi="Arial" w:cs="Arial"/>
                <w:sz w:val="22"/>
                <w:szCs w:val="22"/>
              </w:rPr>
              <w:t xml:space="preserve">As with past years, there is region-by-region reporting that describes how much was spent on what kinds of </w:t>
            </w:r>
            <w:proofErr w:type="gramStart"/>
            <w:r w:rsidRPr="00C55ADB">
              <w:rPr>
                <w:rFonts w:ascii="Arial" w:hAnsi="Arial" w:cs="Arial"/>
                <w:sz w:val="22"/>
                <w:szCs w:val="22"/>
              </w:rPr>
              <w:t>activities, and</w:t>
            </w:r>
            <w:proofErr w:type="gramEnd"/>
            <w:r w:rsidRPr="00C55ADB">
              <w:rPr>
                <w:rFonts w:ascii="Arial" w:hAnsi="Arial" w:cs="Arial"/>
                <w:sz w:val="22"/>
                <w:szCs w:val="22"/>
              </w:rPr>
              <w:t xml:space="preserve"> highlights some case studies.  </w:t>
            </w:r>
            <w:proofErr w:type="gramStart"/>
            <w:r w:rsidRPr="00C55ADB">
              <w:rPr>
                <w:rFonts w:ascii="Arial" w:hAnsi="Arial" w:cs="Arial"/>
                <w:sz w:val="22"/>
                <w:szCs w:val="22"/>
              </w:rPr>
              <w:t>However</w:t>
            </w:r>
            <w:proofErr w:type="gramEnd"/>
            <w:r w:rsidRPr="00C55ADB">
              <w:rPr>
                <w:rFonts w:ascii="Arial" w:hAnsi="Arial" w:cs="Arial"/>
                <w:sz w:val="22"/>
                <w:szCs w:val="22"/>
              </w:rPr>
              <w:t xml:space="preserve"> this reporting does not provide information about outputs and impacts </w:t>
            </w:r>
            <w:proofErr w:type="gramStart"/>
            <w:r w:rsidRPr="00C55ADB">
              <w:rPr>
                <w:rFonts w:ascii="Arial" w:hAnsi="Arial" w:cs="Arial"/>
                <w:sz w:val="22"/>
                <w:szCs w:val="22"/>
              </w:rPr>
              <w:t>such as:</w:t>
            </w:r>
            <w:proofErr w:type="gramEnd"/>
            <w:r w:rsidRPr="00C55ADB">
              <w:rPr>
                <w:rFonts w:ascii="Arial" w:hAnsi="Arial" w:cs="Arial"/>
                <w:sz w:val="22"/>
                <w:szCs w:val="22"/>
              </w:rPr>
              <w:t xml:space="preserve"> the number of people who participated in the various events and activities; or, whether those people increased their knowledge and use of te reo Māori.  </w:t>
            </w:r>
          </w:p>
          <w:p w14:paraId="6132B10B" w14:textId="77777777" w:rsidR="00291BEF" w:rsidRPr="00C55ADB" w:rsidRDefault="00291BEF">
            <w:pPr>
              <w:suppressAutoHyphens w:val="0"/>
              <w:rPr>
                <w:rFonts w:ascii="Arial" w:hAnsi="Arial" w:cs="Arial"/>
                <w:sz w:val="22"/>
                <w:szCs w:val="22"/>
              </w:rPr>
            </w:pPr>
          </w:p>
          <w:p w14:paraId="70BED5F9" w14:textId="77777777" w:rsidR="00291BEF" w:rsidRPr="00C55ADB" w:rsidRDefault="00291BEF">
            <w:pPr>
              <w:suppressAutoHyphens w:val="0"/>
              <w:rPr>
                <w:rFonts w:ascii="Arial" w:hAnsi="Arial" w:cs="Arial"/>
                <w:sz w:val="22"/>
                <w:szCs w:val="22"/>
              </w:rPr>
            </w:pPr>
            <w:proofErr w:type="gramStart"/>
            <w:r w:rsidRPr="00C55ADB">
              <w:rPr>
                <w:rFonts w:ascii="Arial" w:hAnsi="Arial" w:cs="Arial"/>
                <w:sz w:val="22"/>
                <w:szCs w:val="22"/>
              </w:rPr>
              <w:t>Still</w:t>
            </w:r>
            <w:proofErr w:type="gramEnd"/>
            <w:r w:rsidRPr="00C55ADB">
              <w:rPr>
                <w:rFonts w:ascii="Arial" w:hAnsi="Arial" w:cs="Arial"/>
                <w:sz w:val="22"/>
                <w:szCs w:val="22"/>
              </w:rPr>
              <w:t xml:space="preserve"> there is information on the type of activities, and a key improvement this year is that public accountability has been significantly increased by the publication of the list of groups/individuals who received this money.  This was always required, and </w:t>
            </w:r>
            <w:proofErr w:type="gramStart"/>
            <w:r w:rsidRPr="00C55ADB">
              <w:rPr>
                <w:rFonts w:ascii="Arial" w:hAnsi="Arial" w:cs="Arial"/>
                <w:sz w:val="22"/>
                <w:szCs w:val="22"/>
              </w:rPr>
              <w:t>it</w:t>
            </w:r>
            <w:proofErr w:type="gramEnd"/>
            <w:r w:rsidRPr="00C55ADB">
              <w:rPr>
                <w:rFonts w:ascii="Arial" w:hAnsi="Arial" w:cs="Arial"/>
                <w:sz w:val="22"/>
                <w:szCs w:val="22"/>
              </w:rPr>
              <w:t xml:space="preserve"> publication demonstrates Te Mātāwai is proud of its investment decisions.     </w:t>
            </w:r>
          </w:p>
          <w:p w14:paraId="6423AFA2" w14:textId="77777777" w:rsidR="00291BEF" w:rsidRPr="00C55ADB" w:rsidRDefault="00291BEF">
            <w:pPr>
              <w:suppressAutoHyphens w:val="0"/>
              <w:rPr>
                <w:rFonts w:ascii="Arial" w:hAnsi="Arial" w:cs="Arial"/>
                <w:sz w:val="22"/>
                <w:szCs w:val="22"/>
              </w:rPr>
            </w:pPr>
            <w:r w:rsidRPr="00C55ADB">
              <w:rPr>
                <w:rFonts w:ascii="Arial" w:hAnsi="Arial" w:cs="Arial"/>
                <w:sz w:val="22"/>
                <w:szCs w:val="22"/>
              </w:rPr>
              <w:t xml:space="preserve"> </w:t>
            </w:r>
          </w:p>
          <w:p w14:paraId="4815D58F" w14:textId="77777777" w:rsidR="00291BEF" w:rsidRPr="00C55ADB" w:rsidRDefault="00291BEF">
            <w:pPr>
              <w:suppressAutoHyphens w:val="0"/>
              <w:rPr>
                <w:rFonts w:ascii="Arial" w:hAnsi="Arial" w:cs="Arial"/>
                <w:sz w:val="22"/>
                <w:szCs w:val="22"/>
              </w:rPr>
            </w:pPr>
            <w:r w:rsidRPr="00C55ADB">
              <w:rPr>
                <w:rFonts w:ascii="Arial" w:hAnsi="Arial" w:cs="Arial"/>
                <w:sz w:val="22"/>
                <w:szCs w:val="22"/>
              </w:rPr>
              <w:t xml:space="preserve">Whilst there is no reason to doubt the above outcomes, we note the report does not discuss in any meaningful way any work that Te Mātāwai undertook to deliver on its other functions, particularly its second tranche of its mandate, (to support, inform and influence the Crown). </w:t>
            </w:r>
          </w:p>
          <w:p w14:paraId="08AEA485" w14:textId="77777777" w:rsidR="00291BEF" w:rsidRPr="00C55ADB" w:rsidRDefault="00291BEF">
            <w:pPr>
              <w:suppressAutoHyphens w:val="0"/>
              <w:rPr>
                <w:rFonts w:ascii="Arial" w:hAnsi="Arial" w:cs="Arial"/>
                <w:sz w:val="22"/>
                <w:szCs w:val="22"/>
              </w:rPr>
            </w:pPr>
            <w:r w:rsidRPr="00C55ADB">
              <w:rPr>
                <w:rFonts w:ascii="Arial" w:hAnsi="Arial" w:cs="Arial"/>
                <w:sz w:val="22"/>
                <w:szCs w:val="22"/>
              </w:rPr>
              <w:t xml:space="preserve"> </w:t>
            </w:r>
          </w:p>
          <w:p w14:paraId="2EEA466D" w14:textId="77777777" w:rsidR="00291BEF" w:rsidRPr="00C55ADB" w:rsidRDefault="00291BEF">
            <w:pPr>
              <w:suppressAutoHyphens w:val="0"/>
              <w:rPr>
                <w:rFonts w:ascii="Arial" w:hAnsi="Arial" w:cs="Arial"/>
                <w:sz w:val="22"/>
                <w:szCs w:val="22"/>
              </w:rPr>
            </w:pPr>
            <w:r w:rsidRPr="00C55ADB">
              <w:rPr>
                <w:rFonts w:ascii="Arial" w:hAnsi="Arial" w:cs="Arial"/>
                <w:sz w:val="22"/>
                <w:szCs w:val="22"/>
              </w:rPr>
              <w:t xml:space="preserve">Last, as shown below, this year Te Mātāwai had a deficit of $2.8 million.  </w:t>
            </w:r>
            <w:proofErr w:type="gramStart"/>
            <w:r w:rsidRPr="00C55ADB">
              <w:rPr>
                <w:rFonts w:ascii="Arial" w:hAnsi="Arial" w:cs="Arial"/>
                <w:sz w:val="22"/>
                <w:szCs w:val="22"/>
              </w:rPr>
              <w:t>However</w:t>
            </w:r>
            <w:proofErr w:type="gramEnd"/>
            <w:r w:rsidRPr="00C55ADB">
              <w:rPr>
                <w:rFonts w:ascii="Arial" w:hAnsi="Arial" w:cs="Arial"/>
                <w:sz w:val="22"/>
                <w:szCs w:val="22"/>
              </w:rPr>
              <w:t xml:space="preserve"> the entity remains in a strong financial position with reserves of over $10 million, so moving more money out to community initiatives earlier (and thus running at a loss) in this context reads as a defendable approach.  What is more questionable is the admin to output ratio; in essence it seems to cost nearly $7 million to get nearly $14 million out to communities, which may be a factor auditors consider for reasonableness. </w:t>
            </w:r>
          </w:p>
          <w:p w14:paraId="6C9CA1B5" w14:textId="77777777" w:rsidR="00291BEF" w:rsidRPr="00C55ADB" w:rsidRDefault="00291BE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
              <w:tblDescription w:val=""/>
            </w:tblPr>
            <w:tblGrid>
              <w:gridCol w:w="2368"/>
              <w:gridCol w:w="1773"/>
            </w:tblGrid>
            <w:tr w:rsidR="00291BEF" w:rsidRPr="00C55ADB" w14:paraId="0F8C8A38" w14:textId="77777777">
              <w:tc>
                <w:tcPr>
                  <w:tcW w:w="2368" w:type="dxa"/>
                  <w:tcMar>
                    <w:top w:w="80" w:type="dxa"/>
                    <w:left w:w="80" w:type="dxa"/>
                    <w:bottom w:w="80" w:type="dxa"/>
                    <w:right w:w="80" w:type="dxa"/>
                  </w:tcMar>
                  <w:hideMark/>
                </w:tcPr>
                <w:p w14:paraId="4FF47BFD" w14:textId="77777777" w:rsidR="00291BEF" w:rsidRPr="00C55ADB" w:rsidRDefault="00291BEF">
                  <w:pPr>
                    <w:rPr>
                      <w:rFonts w:ascii="Arial" w:hAnsi="Arial" w:cs="Arial"/>
                      <w:sz w:val="22"/>
                      <w:szCs w:val="22"/>
                    </w:rPr>
                  </w:pPr>
                  <w:r w:rsidRPr="00C55ADB">
                    <w:rPr>
                      <w:rFonts w:ascii="Arial" w:hAnsi="Arial" w:cs="Arial"/>
                      <w:b/>
                      <w:bCs/>
                      <w:sz w:val="22"/>
                      <w:szCs w:val="22"/>
                    </w:rPr>
                    <w:t>Financial Performance Headlines</w:t>
                  </w:r>
                </w:p>
              </w:tc>
              <w:tc>
                <w:tcPr>
                  <w:tcW w:w="1773" w:type="dxa"/>
                  <w:tcMar>
                    <w:top w:w="80" w:type="dxa"/>
                    <w:left w:w="80" w:type="dxa"/>
                    <w:bottom w:w="80" w:type="dxa"/>
                    <w:right w:w="80" w:type="dxa"/>
                  </w:tcMar>
                  <w:hideMark/>
                </w:tcPr>
                <w:p w14:paraId="71456DA7" w14:textId="77777777" w:rsidR="00291BEF" w:rsidRPr="00C55ADB" w:rsidRDefault="00291BEF">
                  <w:pPr>
                    <w:rPr>
                      <w:rFonts w:ascii="Arial" w:hAnsi="Arial" w:cs="Arial"/>
                      <w:sz w:val="22"/>
                      <w:szCs w:val="22"/>
                    </w:rPr>
                  </w:pPr>
                  <w:r w:rsidRPr="00C55ADB">
                    <w:rPr>
                      <w:rFonts w:ascii="Arial" w:hAnsi="Arial" w:cs="Arial"/>
                      <w:b/>
                      <w:bCs/>
                      <w:sz w:val="22"/>
                      <w:szCs w:val="22"/>
                    </w:rPr>
                    <w:t>2025 results</w:t>
                  </w:r>
                </w:p>
              </w:tc>
            </w:tr>
            <w:tr w:rsidR="00291BEF" w:rsidRPr="00C55ADB" w14:paraId="5D05DC23" w14:textId="77777777">
              <w:tc>
                <w:tcPr>
                  <w:tcW w:w="2368" w:type="dxa"/>
                  <w:tcMar>
                    <w:top w:w="80" w:type="dxa"/>
                    <w:left w:w="80" w:type="dxa"/>
                    <w:bottom w:w="80" w:type="dxa"/>
                    <w:right w:w="80" w:type="dxa"/>
                  </w:tcMar>
                  <w:hideMark/>
                </w:tcPr>
                <w:p w14:paraId="1D9F4536" w14:textId="77777777" w:rsidR="00291BEF" w:rsidRPr="00C55ADB" w:rsidRDefault="00291BEF">
                  <w:pPr>
                    <w:rPr>
                      <w:rFonts w:ascii="Arial" w:hAnsi="Arial" w:cs="Arial"/>
                      <w:sz w:val="22"/>
                      <w:szCs w:val="22"/>
                    </w:rPr>
                  </w:pPr>
                  <w:r w:rsidRPr="00C55ADB">
                    <w:rPr>
                      <w:rFonts w:ascii="Arial" w:hAnsi="Arial" w:cs="Arial"/>
                      <w:sz w:val="22"/>
                      <w:szCs w:val="22"/>
                    </w:rPr>
                    <w:t>Revenue</w:t>
                  </w:r>
                </w:p>
              </w:tc>
              <w:tc>
                <w:tcPr>
                  <w:tcW w:w="1773" w:type="dxa"/>
                  <w:tcMar>
                    <w:top w:w="80" w:type="dxa"/>
                    <w:left w:w="80" w:type="dxa"/>
                    <w:bottom w:w="80" w:type="dxa"/>
                    <w:right w:w="80" w:type="dxa"/>
                  </w:tcMar>
                  <w:hideMark/>
                </w:tcPr>
                <w:p w14:paraId="022EEB4F" w14:textId="77777777" w:rsidR="00291BEF" w:rsidRPr="00C55ADB" w:rsidRDefault="00291BEF">
                  <w:pPr>
                    <w:rPr>
                      <w:rFonts w:ascii="Arial" w:hAnsi="Arial" w:cs="Arial"/>
                      <w:sz w:val="22"/>
                      <w:szCs w:val="22"/>
                    </w:rPr>
                  </w:pPr>
                  <w:r w:rsidRPr="00C55ADB">
                    <w:rPr>
                      <w:rFonts w:ascii="Arial" w:hAnsi="Arial" w:cs="Arial"/>
                      <w:sz w:val="22"/>
                      <w:szCs w:val="22"/>
                    </w:rPr>
                    <w:t>$17.8 million</w:t>
                  </w:r>
                </w:p>
              </w:tc>
            </w:tr>
            <w:tr w:rsidR="00291BEF" w:rsidRPr="00C55ADB" w14:paraId="5720E67E" w14:textId="77777777">
              <w:tc>
                <w:tcPr>
                  <w:tcW w:w="2368" w:type="dxa"/>
                  <w:tcMar>
                    <w:top w:w="80" w:type="dxa"/>
                    <w:left w:w="80" w:type="dxa"/>
                    <w:bottom w:w="80" w:type="dxa"/>
                    <w:right w:w="80" w:type="dxa"/>
                  </w:tcMar>
                  <w:hideMark/>
                </w:tcPr>
                <w:p w14:paraId="44DB0B86" w14:textId="77777777" w:rsidR="00291BEF" w:rsidRPr="00C55ADB" w:rsidRDefault="00291BEF">
                  <w:pPr>
                    <w:rPr>
                      <w:rFonts w:ascii="Arial" w:hAnsi="Arial" w:cs="Arial"/>
                      <w:sz w:val="22"/>
                      <w:szCs w:val="22"/>
                    </w:rPr>
                  </w:pPr>
                  <w:r w:rsidRPr="00C55ADB">
                    <w:rPr>
                      <w:rFonts w:ascii="Arial" w:hAnsi="Arial" w:cs="Arial"/>
                      <w:sz w:val="22"/>
                      <w:szCs w:val="22"/>
                    </w:rPr>
                    <w:t xml:space="preserve">Expenses </w:t>
                  </w:r>
                </w:p>
              </w:tc>
              <w:tc>
                <w:tcPr>
                  <w:tcW w:w="1773" w:type="dxa"/>
                  <w:tcMar>
                    <w:top w:w="80" w:type="dxa"/>
                    <w:left w:w="80" w:type="dxa"/>
                    <w:bottom w:w="80" w:type="dxa"/>
                    <w:right w:w="80" w:type="dxa"/>
                  </w:tcMar>
                  <w:hideMark/>
                </w:tcPr>
                <w:p w14:paraId="2255F83C" w14:textId="77777777" w:rsidR="00291BEF" w:rsidRPr="00C55ADB" w:rsidRDefault="00291BEF">
                  <w:pPr>
                    <w:rPr>
                      <w:rFonts w:ascii="Arial" w:hAnsi="Arial" w:cs="Arial"/>
                      <w:sz w:val="22"/>
                      <w:szCs w:val="22"/>
                    </w:rPr>
                  </w:pPr>
                  <w:r w:rsidRPr="00C55ADB">
                    <w:rPr>
                      <w:rFonts w:ascii="Arial" w:hAnsi="Arial" w:cs="Arial"/>
                      <w:sz w:val="22"/>
                      <w:szCs w:val="22"/>
                    </w:rPr>
                    <w:t>$20.6 million</w:t>
                  </w:r>
                </w:p>
              </w:tc>
            </w:tr>
            <w:tr w:rsidR="00291BEF" w:rsidRPr="00C55ADB" w14:paraId="5A04090C" w14:textId="77777777">
              <w:tc>
                <w:tcPr>
                  <w:tcW w:w="2368" w:type="dxa"/>
                  <w:tcMar>
                    <w:top w:w="80" w:type="dxa"/>
                    <w:left w:w="80" w:type="dxa"/>
                    <w:bottom w:w="80" w:type="dxa"/>
                    <w:right w:w="80" w:type="dxa"/>
                  </w:tcMar>
                  <w:hideMark/>
                </w:tcPr>
                <w:p w14:paraId="243761AB" w14:textId="77777777" w:rsidR="00291BEF" w:rsidRPr="00C55ADB" w:rsidRDefault="00291BEF">
                  <w:pPr>
                    <w:rPr>
                      <w:rFonts w:ascii="Arial" w:hAnsi="Arial" w:cs="Arial"/>
                      <w:b/>
                      <w:bCs/>
                      <w:sz w:val="22"/>
                      <w:szCs w:val="22"/>
                    </w:rPr>
                  </w:pPr>
                  <w:r w:rsidRPr="00C55ADB">
                    <w:rPr>
                      <w:rFonts w:ascii="Arial" w:hAnsi="Arial" w:cs="Arial"/>
                      <w:b/>
                      <w:bCs/>
                      <w:sz w:val="22"/>
                      <w:szCs w:val="22"/>
                    </w:rPr>
                    <w:t xml:space="preserve">Deficit </w:t>
                  </w:r>
                </w:p>
              </w:tc>
              <w:tc>
                <w:tcPr>
                  <w:tcW w:w="1773" w:type="dxa"/>
                  <w:tcMar>
                    <w:top w:w="80" w:type="dxa"/>
                    <w:left w:w="80" w:type="dxa"/>
                    <w:bottom w:w="80" w:type="dxa"/>
                    <w:right w:w="80" w:type="dxa"/>
                  </w:tcMar>
                  <w:hideMark/>
                </w:tcPr>
                <w:p w14:paraId="7BAA9431" w14:textId="77777777" w:rsidR="00291BEF" w:rsidRPr="00C55ADB" w:rsidRDefault="00291BEF">
                  <w:pPr>
                    <w:rPr>
                      <w:rFonts w:ascii="Arial" w:hAnsi="Arial" w:cs="Arial"/>
                      <w:sz w:val="22"/>
                      <w:szCs w:val="22"/>
                    </w:rPr>
                  </w:pPr>
                  <w:r w:rsidRPr="00C55ADB">
                    <w:rPr>
                      <w:rFonts w:ascii="Arial" w:hAnsi="Arial" w:cs="Arial"/>
                      <w:sz w:val="22"/>
                      <w:szCs w:val="22"/>
                    </w:rPr>
                    <w:t>$2.8 million</w:t>
                  </w:r>
                </w:p>
              </w:tc>
            </w:tr>
          </w:tbl>
          <w:p w14:paraId="67DBE4E7" w14:textId="77777777" w:rsidR="00291BEF" w:rsidRPr="00C55ADB" w:rsidRDefault="00291BEF">
            <w:pPr>
              <w:rPr>
                <w:rFonts w:ascii="Arial" w:hAnsi="Arial" w:cs="Arial"/>
                <w:sz w:val="22"/>
                <w:szCs w:val="22"/>
              </w:rPr>
            </w:pPr>
            <w:r w:rsidRPr="00C55ADB">
              <w:rPr>
                <w:rFonts w:ascii="Arial" w:hAnsi="Arial" w:cs="Arial"/>
                <w:sz w:val="22"/>
                <w:szCs w:val="22"/>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
              <w:tblDescription w:val=""/>
            </w:tblPr>
            <w:tblGrid>
              <w:gridCol w:w="1778"/>
              <w:gridCol w:w="2363"/>
            </w:tblGrid>
            <w:tr w:rsidR="00291BEF" w:rsidRPr="00C55ADB" w14:paraId="57375AA3" w14:textId="77777777">
              <w:tc>
                <w:tcPr>
                  <w:tcW w:w="1778" w:type="dxa"/>
                  <w:tcMar>
                    <w:top w:w="80" w:type="dxa"/>
                    <w:left w:w="80" w:type="dxa"/>
                    <w:bottom w:w="80" w:type="dxa"/>
                    <w:right w:w="80" w:type="dxa"/>
                  </w:tcMar>
                  <w:hideMark/>
                </w:tcPr>
                <w:p w14:paraId="79E9600F" w14:textId="77777777" w:rsidR="00291BEF" w:rsidRPr="00C55ADB" w:rsidRDefault="00291BEF">
                  <w:pPr>
                    <w:rPr>
                      <w:rFonts w:ascii="Arial" w:hAnsi="Arial" w:cs="Arial"/>
                      <w:sz w:val="22"/>
                      <w:szCs w:val="22"/>
                    </w:rPr>
                  </w:pPr>
                  <w:r w:rsidRPr="00C55ADB">
                    <w:rPr>
                      <w:rFonts w:ascii="Arial" w:hAnsi="Arial" w:cs="Arial"/>
                      <w:b/>
                      <w:bCs/>
                      <w:sz w:val="22"/>
                      <w:szCs w:val="22"/>
                    </w:rPr>
                    <w:t>Financial Position Headlines</w:t>
                  </w:r>
                </w:p>
              </w:tc>
              <w:tc>
                <w:tcPr>
                  <w:tcW w:w="2363" w:type="dxa"/>
                  <w:tcMar>
                    <w:top w:w="80" w:type="dxa"/>
                    <w:left w:w="80" w:type="dxa"/>
                    <w:bottom w:w="80" w:type="dxa"/>
                    <w:right w:w="80" w:type="dxa"/>
                  </w:tcMar>
                  <w:hideMark/>
                </w:tcPr>
                <w:p w14:paraId="0917201B" w14:textId="77777777" w:rsidR="00291BEF" w:rsidRPr="00C55ADB" w:rsidRDefault="00291BEF">
                  <w:pPr>
                    <w:rPr>
                      <w:rFonts w:ascii="Arial" w:hAnsi="Arial" w:cs="Arial"/>
                      <w:sz w:val="22"/>
                      <w:szCs w:val="22"/>
                    </w:rPr>
                  </w:pPr>
                  <w:r w:rsidRPr="00C55ADB">
                    <w:rPr>
                      <w:rFonts w:ascii="Arial" w:hAnsi="Arial" w:cs="Arial"/>
                      <w:b/>
                      <w:bCs/>
                      <w:sz w:val="22"/>
                      <w:szCs w:val="22"/>
                    </w:rPr>
                    <w:t>2025 results</w:t>
                  </w:r>
                </w:p>
              </w:tc>
            </w:tr>
            <w:tr w:rsidR="00291BEF" w:rsidRPr="00C55ADB" w14:paraId="7562B374" w14:textId="77777777">
              <w:tc>
                <w:tcPr>
                  <w:tcW w:w="1778" w:type="dxa"/>
                  <w:tcMar>
                    <w:top w:w="80" w:type="dxa"/>
                    <w:left w:w="80" w:type="dxa"/>
                    <w:bottom w:w="80" w:type="dxa"/>
                    <w:right w:w="80" w:type="dxa"/>
                  </w:tcMar>
                  <w:hideMark/>
                </w:tcPr>
                <w:p w14:paraId="019D0D37" w14:textId="77777777" w:rsidR="00291BEF" w:rsidRPr="00C55ADB" w:rsidRDefault="00291BEF">
                  <w:pPr>
                    <w:rPr>
                      <w:rFonts w:ascii="Arial" w:hAnsi="Arial" w:cs="Arial"/>
                      <w:sz w:val="22"/>
                      <w:szCs w:val="22"/>
                    </w:rPr>
                  </w:pPr>
                  <w:r w:rsidRPr="00C55ADB">
                    <w:rPr>
                      <w:rFonts w:ascii="Arial" w:hAnsi="Arial" w:cs="Arial"/>
                      <w:sz w:val="22"/>
                      <w:szCs w:val="22"/>
                    </w:rPr>
                    <w:t>Total Assets</w:t>
                  </w:r>
                </w:p>
              </w:tc>
              <w:tc>
                <w:tcPr>
                  <w:tcW w:w="2363" w:type="dxa"/>
                  <w:tcMar>
                    <w:top w:w="80" w:type="dxa"/>
                    <w:left w:w="80" w:type="dxa"/>
                    <w:bottom w:w="80" w:type="dxa"/>
                    <w:right w:w="80" w:type="dxa"/>
                  </w:tcMar>
                  <w:hideMark/>
                </w:tcPr>
                <w:p w14:paraId="01109CF9" w14:textId="77777777" w:rsidR="00291BEF" w:rsidRPr="00C55ADB" w:rsidRDefault="00291BEF">
                  <w:pPr>
                    <w:rPr>
                      <w:rFonts w:ascii="Arial" w:hAnsi="Arial" w:cs="Arial"/>
                      <w:sz w:val="22"/>
                      <w:szCs w:val="22"/>
                    </w:rPr>
                  </w:pPr>
                  <w:r w:rsidRPr="00C55ADB">
                    <w:rPr>
                      <w:rFonts w:ascii="Arial" w:hAnsi="Arial" w:cs="Arial"/>
                      <w:sz w:val="22"/>
                      <w:szCs w:val="22"/>
                    </w:rPr>
                    <w:t>$12.5 million</w:t>
                  </w:r>
                </w:p>
              </w:tc>
            </w:tr>
            <w:tr w:rsidR="00291BEF" w:rsidRPr="00C55ADB" w14:paraId="275492A8" w14:textId="77777777">
              <w:tc>
                <w:tcPr>
                  <w:tcW w:w="1778" w:type="dxa"/>
                  <w:tcMar>
                    <w:top w:w="80" w:type="dxa"/>
                    <w:left w:w="80" w:type="dxa"/>
                    <w:bottom w:w="80" w:type="dxa"/>
                    <w:right w:w="80" w:type="dxa"/>
                  </w:tcMar>
                  <w:hideMark/>
                </w:tcPr>
                <w:p w14:paraId="668B5AEA" w14:textId="77777777" w:rsidR="00291BEF" w:rsidRPr="00C55ADB" w:rsidRDefault="00291BEF">
                  <w:pPr>
                    <w:rPr>
                      <w:rFonts w:ascii="Arial" w:hAnsi="Arial" w:cs="Arial"/>
                      <w:sz w:val="22"/>
                      <w:szCs w:val="22"/>
                    </w:rPr>
                  </w:pPr>
                  <w:r w:rsidRPr="00C55ADB">
                    <w:rPr>
                      <w:rFonts w:ascii="Arial" w:hAnsi="Arial" w:cs="Arial"/>
                      <w:sz w:val="22"/>
                      <w:szCs w:val="22"/>
                    </w:rPr>
                    <w:t>Total Liabilities</w:t>
                  </w:r>
                </w:p>
              </w:tc>
              <w:tc>
                <w:tcPr>
                  <w:tcW w:w="2363" w:type="dxa"/>
                  <w:tcMar>
                    <w:top w:w="80" w:type="dxa"/>
                    <w:left w:w="80" w:type="dxa"/>
                    <w:bottom w:w="80" w:type="dxa"/>
                    <w:right w:w="80" w:type="dxa"/>
                  </w:tcMar>
                  <w:hideMark/>
                </w:tcPr>
                <w:p w14:paraId="0B2BB893" w14:textId="77777777" w:rsidR="00291BEF" w:rsidRPr="00C55ADB" w:rsidRDefault="00291BEF">
                  <w:pPr>
                    <w:rPr>
                      <w:rFonts w:ascii="Arial" w:hAnsi="Arial" w:cs="Arial"/>
                      <w:sz w:val="22"/>
                      <w:szCs w:val="22"/>
                    </w:rPr>
                  </w:pPr>
                  <w:r w:rsidRPr="00C55ADB">
                    <w:rPr>
                      <w:rFonts w:ascii="Arial" w:hAnsi="Arial" w:cs="Arial"/>
                      <w:sz w:val="22"/>
                      <w:szCs w:val="22"/>
                    </w:rPr>
                    <w:t>$1.7 Million</w:t>
                  </w:r>
                </w:p>
              </w:tc>
            </w:tr>
            <w:tr w:rsidR="00291BEF" w:rsidRPr="00C55ADB" w14:paraId="3F21F189" w14:textId="77777777">
              <w:tc>
                <w:tcPr>
                  <w:tcW w:w="1778" w:type="dxa"/>
                  <w:tcMar>
                    <w:top w:w="80" w:type="dxa"/>
                    <w:left w:w="80" w:type="dxa"/>
                    <w:bottom w:w="80" w:type="dxa"/>
                    <w:right w:w="80" w:type="dxa"/>
                  </w:tcMar>
                  <w:hideMark/>
                </w:tcPr>
                <w:p w14:paraId="728AF3CC" w14:textId="77777777" w:rsidR="00291BEF" w:rsidRPr="00C55ADB" w:rsidRDefault="00291BEF">
                  <w:pPr>
                    <w:rPr>
                      <w:rFonts w:ascii="Arial" w:hAnsi="Arial" w:cs="Arial"/>
                      <w:sz w:val="22"/>
                      <w:szCs w:val="22"/>
                    </w:rPr>
                  </w:pPr>
                  <w:r w:rsidRPr="00C55ADB">
                    <w:rPr>
                      <w:rFonts w:ascii="Arial" w:hAnsi="Arial" w:cs="Arial"/>
                      <w:b/>
                      <w:bCs/>
                      <w:sz w:val="22"/>
                      <w:szCs w:val="22"/>
                    </w:rPr>
                    <w:t xml:space="preserve">Equity </w:t>
                  </w:r>
                </w:p>
              </w:tc>
              <w:tc>
                <w:tcPr>
                  <w:tcW w:w="2363" w:type="dxa"/>
                  <w:tcMar>
                    <w:top w:w="80" w:type="dxa"/>
                    <w:left w:w="80" w:type="dxa"/>
                    <w:bottom w:w="80" w:type="dxa"/>
                    <w:right w:w="80" w:type="dxa"/>
                  </w:tcMar>
                  <w:hideMark/>
                </w:tcPr>
                <w:p w14:paraId="57B7BEDC" w14:textId="77777777" w:rsidR="00291BEF" w:rsidRPr="00C55ADB" w:rsidRDefault="00291BEF">
                  <w:pPr>
                    <w:rPr>
                      <w:rFonts w:ascii="Arial" w:hAnsi="Arial" w:cs="Arial"/>
                      <w:sz w:val="22"/>
                      <w:szCs w:val="22"/>
                    </w:rPr>
                  </w:pPr>
                  <w:r w:rsidRPr="00C55ADB">
                    <w:rPr>
                      <w:rFonts w:ascii="Arial" w:hAnsi="Arial" w:cs="Arial"/>
                      <w:sz w:val="22"/>
                      <w:szCs w:val="22"/>
                    </w:rPr>
                    <w:t>$10.8 million</w:t>
                  </w:r>
                </w:p>
              </w:tc>
            </w:tr>
          </w:tbl>
          <w:p w14:paraId="143BF907" w14:textId="77777777" w:rsidR="00291BEF" w:rsidRPr="00C55ADB" w:rsidRDefault="00291BEF">
            <w:pPr>
              <w:suppressAutoHyphens w:val="0"/>
              <w:spacing w:before="120" w:after="120"/>
              <w:rPr>
                <w:rFonts w:ascii="Arial" w:hAnsi="Arial" w:cs="Arial"/>
                <w:bCs/>
                <w:sz w:val="22"/>
                <w:szCs w:val="22"/>
              </w:rPr>
            </w:pPr>
          </w:p>
        </w:tc>
      </w:tr>
      <w:tr w:rsidR="00291BEF" w:rsidRPr="00C55ADB" w14:paraId="35A0BF6C" w14:textId="77777777">
        <w:trPr>
          <w:trHeight w:val="454"/>
        </w:trPr>
        <w:tc>
          <w:tcPr>
            <w:tcW w:w="1819" w:type="dxa"/>
            <w:vMerge/>
          </w:tcPr>
          <w:p w14:paraId="6AAB9028" w14:textId="77777777" w:rsidR="00291BEF" w:rsidRPr="00C55ADB" w:rsidRDefault="00291BEF">
            <w:pPr>
              <w:suppressAutoHyphens w:val="0"/>
              <w:rPr>
                <w:rFonts w:ascii="Arial" w:hAnsi="Arial" w:cs="Arial"/>
                <w:b/>
                <w:sz w:val="22"/>
                <w:szCs w:val="22"/>
              </w:rPr>
            </w:pPr>
          </w:p>
        </w:tc>
        <w:tc>
          <w:tcPr>
            <w:tcW w:w="1525" w:type="dxa"/>
          </w:tcPr>
          <w:p w14:paraId="52C650D5" w14:textId="77777777" w:rsidR="00291BEF" w:rsidRPr="00C55ADB" w:rsidRDefault="00291BEF">
            <w:pPr>
              <w:suppressAutoHyphens w:val="0"/>
              <w:spacing w:before="120" w:after="120"/>
              <w:rPr>
                <w:rFonts w:ascii="Arial" w:hAnsi="Arial" w:cs="Arial"/>
                <w:sz w:val="22"/>
                <w:szCs w:val="22"/>
              </w:rPr>
            </w:pPr>
            <w:r w:rsidRPr="00C55ADB">
              <w:rPr>
                <w:rFonts w:ascii="Arial" w:hAnsi="Arial" w:cs="Arial"/>
                <w:sz w:val="22"/>
                <w:szCs w:val="22"/>
              </w:rPr>
              <w:t>Quality rating:</w:t>
            </w:r>
          </w:p>
        </w:tc>
        <w:tc>
          <w:tcPr>
            <w:tcW w:w="6337" w:type="dxa"/>
          </w:tcPr>
          <w:p w14:paraId="1D17D05A" w14:textId="77777777" w:rsidR="00291BEF" w:rsidRPr="00C55ADB" w:rsidRDefault="00291BEF">
            <w:pPr>
              <w:suppressAutoHyphens w:val="0"/>
              <w:spacing w:before="120" w:after="120"/>
              <w:rPr>
                <w:rFonts w:ascii="Arial" w:hAnsi="Arial" w:cs="Arial"/>
                <w:bCs/>
                <w:sz w:val="22"/>
                <w:szCs w:val="22"/>
              </w:rPr>
            </w:pPr>
            <w:r w:rsidRPr="00BA389A">
              <w:rPr>
                <w:rFonts w:ascii="Arial" w:hAnsi="Arial" w:cs="Arial"/>
                <w:sz w:val="22"/>
                <w:szCs w:val="18"/>
              </w:rPr>
              <w:t>Good</w:t>
            </w:r>
          </w:p>
        </w:tc>
      </w:tr>
      <w:tr w:rsidR="00291BEF" w:rsidRPr="00C55ADB" w14:paraId="747DFA90" w14:textId="77777777">
        <w:trPr>
          <w:trHeight w:val="454"/>
        </w:trPr>
        <w:tc>
          <w:tcPr>
            <w:tcW w:w="1819" w:type="dxa"/>
            <w:vMerge/>
          </w:tcPr>
          <w:p w14:paraId="72DC6AF2" w14:textId="77777777" w:rsidR="00291BEF" w:rsidRPr="00C55ADB" w:rsidRDefault="00291BEF">
            <w:pPr>
              <w:suppressAutoHyphens w:val="0"/>
              <w:rPr>
                <w:rFonts w:ascii="Arial" w:hAnsi="Arial" w:cs="Arial"/>
                <w:b/>
                <w:sz w:val="22"/>
                <w:szCs w:val="22"/>
              </w:rPr>
            </w:pPr>
          </w:p>
        </w:tc>
        <w:tc>
          <w:tcPr>
            <w:tcW w:w="1525" w:type="dxa"/>
          </w:tcPr>
          <w:p w14:paraId="0CFFC884" w14:textId="77777777" w:rsidR="00291BEF" w:rsidRPr="00C55ADB" w:rsidRDefault="00291BEF">
            <w:pPr>
              <w:suppressAutoHyphens w:val="0"/>
              <w:spacing w:before="120" w:after="120"/>
              <w:rPr>
                <w:rFonts w:ascii="Arial" w:hAnsi="Arial" w:cs="Arial"/>
                <w:sz w:val="22"/>
                <w:szCs w:val="22"/>
              </w:rPr>
            </w:pPr>
            <w:r w:rsidRPr="00C55ADB">
              <w:rPr>
                <w:rFonts w:ascii="Arial" w:hAnsi="Arial" w:cs="Arial"/>
                <w:sz w:val="22"/>
                <w:szCs w:val="22"/>
              </w:rPr>
              <w:t>Assessment rationale summary:</w:t>
            </w:r>
          </w:p>
        </w:tc>
        <w:tc>
          <w:tcPr>
            <w:tcW w:w="6337" w:type="dxa"/>
          </w:tcPr>
          <w:p w14:paraId="4BBC3A82" w14:textId="77777777" w:rsidR="00291BEF" w:rsidRPr="00BA389A" w:rsidRDefault="00291BEF">
            <w:pPr>
              <w:pStyle w:val="BodyText"/>
              <w:rPr>
                <w:rFonts w:cs="Arial"/>
                <w:sz w:val="22"/>
                <w:szCs w:val="18"/>
              </w:rPr>
            </w:pPr>
            <w:r w:rsidRPr="00BA389A">
              <w:rPr>
                <w:rFonts w:cs="Arial"/>
                <w:sz w:val="22"/>
                <w:szCs w:val="18"/>
              </w:rPr>
              <w:t>As with past years, the bulk of the context in this annual report is in the mid-section, which sets out what the eight regional reports of various groups (</w:t>
            </w:r>
            <w:proofErr w:type="spellStart"/>
            <w:r w:rsidRPr="00BA389A">
              <w:rPr>
                <w:rFonts w:cs="Arial"/>
                <w:sz w:val="22"/>
                <w:szCs w:val="18"/>
              </w:rPr>
              <w:t>kāhui</w:t>
            </w:r>
            <w:proofErr w:type="spellEnd"/>
            <w:r w:rsidRPr="00BA389A">
              <w:rPr>
                <w:rFonts w:cs="Arial"/>
                <w:sz w:val="22"/>
                <w:szCs w:val="18"/>
              </w:rPr>
              <w:t xml:space="preserve">) did with the funding they received.  For some this may present as too light, with no clear cost or impact analyses - but on balance, we are not sure that matters too much.  That is because these are community initiatives, and the </w:t>
            </w:r>
            <w:proofErr w:type="gramStart"/>
            <w:r w:rsidRPr="00BA389A">
              <w:rPr>
                <w:rFonts w:cs="Arial"/>
                <w:sz w:val="22"/>
                <w:szCs w:val="18"/>
              </w:rPr>
              <w:t>ultimate goal</w:t>
            </w:r>
            <w:proofErr w:type="gramEnd"/>
            <w:r w:rsidRPr="00BA389A">
              <w:rPr>
                <w:rFonts w:cs="Arial"/>
                <w:sz w:val="22"/>
                <w:szCs w:val="18"/>
              </w:rPr>
              <w:t xml:space="preserve"> is to centre on something intangible, the promotion of Te Reo in communities, which means rigid reporting does not necessarily fit with increased community empowerment.  </w:t>
            </w:r>
          </w:p>
          <w:p w14:paraId="0F1D5CCE" w14:textId="77777777" w:rsidR="00291BEF" w:rsidRPr="00C55ADB" w:rsidRDefault="00291BEF">
            <w:pPr>
              <w:suppressAutoHyphens w:val="0"/>
              <w:spacing w:before="120" w:after="120"/>
              <w:rPr>
                <w:rFonts w:ascii="Arial" w:hAnsi="Arial" w:cs="Arial"/>
                <w:bCs/>
                <w:sz w:val="22"/>
                <w:szCs w:val="22"/>
              </w:rPr>
            </w:pPr>
            <w:r w:rsidRPr="00BA389A">
              <w:rPr>
                <w:rFonts w:ascii="Arial" w:hAnsi="Arial" w:cs="Arial"/>
                <w:sz w:val="22"/>
                <w:szCs w:val="18"/>
              </w:rPr>
              <w:t>This year the report also significantly improves on this information by also sets out exactly what was funded.  We also consider the inclusion of the outcomes framework to be useful, as soft investment guidance to keep people focused on tasks that matter.</w:t>
            </w:r>
            <w:r w:rsidRPr="00BA389A">
              <w:rPr>
                <w:rFonts w:asciiTheme="majorHAnsi" w:hAnsiTheme="majorHAnsi"/>
                <w:sz w:val="22"/>
                <w:szCs w:val="18"/>
              </w:rPr>
              <w:t xml:space="preserve">  </w:t>
            </w:r>
          </w:p>
        </w:tc>
      </w:tr>
    </w:tbl>
    <w:p w14:paraId="131F98B8" w14:textId="77777777" w:rsidR="00291BEF" w:rsidRDefault="00291BEF" w:rsidP="00512709">
      <w:pPr>
        <w:pStyle w:val="BodyText"/>
        <w:suppressAutoHyphens w:val="0"/>
        <w:rPr>
          <w:rFonts w:cs="Arial"/>
          <w:b/>
          <w:szCs w:val="24"/>
        </w:rPr>
      </w:pPr>
    </w:p>
    <w:tbl>
      <w:tblPr>
        <w:tblStyle w:val="TableGrid"/>
        <w:tblW w:w="0" w:type="auto"/>
        <w:tblInd w:w="-856" w:type="dxa"/>
        <w:tblLook w:val="04A0" w:firstRow="1" w:lastRow="0" w:firstColumn="1" w:lastColumn="0" w:noHBand="0" w:noVBand="1"/>
      </w:tblPr>
      <w:tblGrid>
        <w:gridCol w:w="1819"/>
        <w:gridCol w:w="1525"/>
        <w:gridCol w:w="6337"/>
      </w:tblGrid>
      <w:tr w:rsidR="00291BEF" w:rsidRPr="00C55ADB" w14:paraId="0373D6E7" w14:textId="77777777" w:rsidTr="0067458B">
        <w:trPr>
          <w:trHeight w:val="454"/>
        </w:trPr>
        <w:tc>
          <w:tcPr>
            <w:tcW w:w="1819" w:type="dxa"/>
            <w:vMerge w:val="restart"/>
          </w:tcPr>
          <w:p w14:paraId="03043816" w14:textId="77777777" w:rsidR="00A436EF" w:rsidRPr="00C55ADB" w:rsidRDefault="00A436EF" w:rsidP="00A436EF">
            <w:pPr>
              <w:suppressAutoHyphens w:val="0"/>
              <w:spacing w:before="120"/>
              <w:rPr>
                <w:rFonts w:ascii="Arial" w:hAnsi="Arial" w:cs="Arial"/>
                <w:b/>
                <w:sz w:val="22"/>
                <w:szCs w:val="22"/>
              </w:rPr>
            </w:pPr>
            <w:r w:rsidRPr="00C55ADB">
              <w:rPr>
                <w:rFonts w:ascii="Arial" w:hAnsi="Arial" w:cs="Arial"/>
                <w:b/>
                <w:sz w:val="22"/>
                <w:szCs w:val="22"/>
              </w:rPr>
              <w:t>Te Reo Māori</w:t>
            </w:r>
          </w:p>
          <w:p w14:paraId="65B93171" w14:textId="77777777" w:rsidR="00291BEF" w:rsidRPr="00C55ADB" w:rsidRDefault="00291BEF">
            <w:pPr>
              <w:suppressAutoHyphens w:val="0"/>
              <w:rPr>
                <w:rFonts w:ascii="Arial" w:hAnsi="Arial" w:cs="Arial"/>
                <w:b/>
                <w:sz w:val="22"/>
                <w:szCs w:val="22"/>
              </w:rPr>
            </w:pPr>
          </w:p>
          <w:p w14:paraId="0CAAACBF" w14:textId="77777777" w:rsidR="00291BEF" w:rsidRPr="00C55ADB" w:rsidRDefault="00291BEF">
            <w:pPr>
              <w:rPr>
                <w:rFonts w:ascii="Arial" w:hAnsi="Arial" w:cs="Arial"/>
                <w:b/>
                <w:sz w:val="22"/>
                <w:szCs w:val="22"/>
              </w:rPr>
            </w:pPr>
            <w:r w:rsidRPr="00C55ADB">
              <w:rPr>
                <w:rFonts w:ascii="Arial" w:hAnsi="Arial" w:cs="Arial"/>
                <w:b/>
                <w:sz w:val="22"/>
                <w:szCs w:val="22"/>
              </w:rPr>
              <w:t>Pānui 05/2026</w:t>
            </w:r>
          </w:p>
        </w:tc>
        <w:tc>
          <w:tcPr>
            <w:tcW w:w="1525" w:type="dxa"/>
          </w:tcPr>
          <w:p w14:paraId="0AB1D60F" w14:textId="77777777" w:rsidR="00291BEF" w:rsidRPr="00C55ADB" w:rsidRDefault="00291BEF">
            <w:pPr>
              <w:suppressAutoHyphens w:val="0"/>
              <w:spacing w:before="120" w:after="120"/>
              <w:rPr>
                <w:rFonts w:ascii="Arial" w:hAnsi="Arial" w:cs="Arial"/>
                <w:i/>
                <w:sz w:val="22"/>
                <w:szCs w:val="22"/>
              </w:rPr>
            </w:pPr>
            <w:r w:rsidRPr="00C55ADB">
              <w:rPr>
                <w:rFonts w:ascii="Arial" w:hAnsi="Arial" w:cs="Arial"/>
                <w:b/>
                <w:sz w:val="22"/>
                <w:szCs w:val="22"/>
              </w:rPr>
              <w:t>Item:</w:t>
            </w:r>
          </w:p>
        </w:tc>
        <w:tc>
          <w:tcPr>
            <w:tcW w:w="6337" w:type="dxa"/>
          </w:tcPr>
          <w:p w14:paraId="636DB98A" w14:textId="77777777" w:rsidR="00291BEF" w:rsidRPr="00C55ADB" w:rsidRDefault="00291BEF">
            <w:pPr>
              <w:pStyle w:val="BodyText"/>
              <w:spacing w:before="120"/>
              <w:rPr>
                <w:rFonts w:cs="Arial"/>
                <w:sz w:val="22"/>
                <w:szCs w:val="22"/>
              </w:rPr>
            </w:pPr>
            <w:r w:rsidRPr="00BA389A">
              <w:rPr>
                <w:rFonts w:asciiTheme="majorHAnsi" w:hAnsiTheme="majorHAnsi"/>
                <w:b/>
                <w:sz w:val="22"/>
                <w:szCs w:val="18"/>
              </w:rPr>
              <w:t>Te Māngai Pāho Annual Report 2024/25</w:t>
            </w:r>
          </w:p>
        </w:tc>
      </w:tr>
      <w:tr w:rsidR="00291BEF" w:rsidRPr="00C55ADB" w14:paraId="6BDCDAA7" w14:textId="77777777" w:rsidTr="0067458B">
        <w:trPr>
          <w:trHeight w:val="454"/>
        </w:trPr>
        <w:tc>
          <w:tcPr>
            <w:tcW w:w="1819" w:type="dxa"/>
            <w:vMerge/>
          </w:tcPr>
          <w:p w14:paraId="0E080163" w14:textId="77777777" w:rsidR="00291BEF" w:rsidRPr="00C55ADB" w:rsidRDefault="00291BEF">
            <w:pPr>
              <w:rPr>
                <w:rFonts w:ascii="Arial" w:hAnsi="Arial" w:cs="Arial"/>
                <w:b/>
                <w:sz w:val="22"/>
                <w:szCs w:val="22"/>
              </w:rPr>
            </w:pPr>
          </w:p>
        </w:tc>
        <w:tc>
          <w:tcPr>
            <w:tcW w:w="1525" w:type="dxa"/>
          </w:tcPr>
          <w:p w14:paraId="6429DF8C" w14:textId="77777777" w:rsidR="00291BEF" w:rsidRPr="00C55ADB" w:rsidRDefault="00291BEF">
            <w:pPr>
              <w:suppressAutoHyphens w:val="0"/>
              <w:spacing w:before="120" w:after="120"/>
              <w:rPr>
                <w:rFonts w:ascii="Arial" w:hAnsi="Arial" w:cs="Arial"/>
                <w:i/>
                <w:sz w:val="22"/>
                <w:szCs w:val="22"/>
              </w:rPr>
            </w:pPr>
            <w:r w:rsidRPr="00C55ADB">
              <w:rPr>
                <w:rFonts w:ascii="Arial" w:hAnsi="Arial" w:cs="Arial"/>
                <w:sz w:val="22"/>
                <w:szCs w:val="22"/>
              </w:rPr>
              <w:t>Publisher:</w:t>
            </w:r>
          </w:p>
        </w:tc>
        <w:tc>
          <w:tcPr>
            <w:tcW w:w="6337" w:type="dxa"/>
          </w:tcPr>
          <w:p w14:paraId="3571DA9F" w14:textId="77777777" w:rsidR="00291BEF" w:rsidRPr="00C55ADB" w:rsidRDefault="00291BEF">
            <w:pPr>
              <w:pStyle w:val="BodyText"/>
              <w:spacing w:before="120"/>
              <w:rPr>
                <w:rFonts w:asciiTheme="minorHAnsi" w:hAnsiTheme="minorHAnsi" w:cstheme="minorHAnsi"/>
                <w:sz w:val="22"/>
                <w:szCs w:val="22"/>
              </w:rPr>
            </w:pPr>
            <w:r w:rsidRPr="00BA389A">
              <w:rPr>
                <w:rFonts w:asciiTheme="minorHAnsi" w:hAnsiTheme="minorHAnsi" w:cstheme="minorHAnsi"/>
                <w:b/>
                <w:sz w:val="22"/>
                <w:szCs w:val="18"/>
              </w:rPr>
              <w:t>Te Māngai Pāho</w:t>
            </w:r>
          </w:p>
        </w:tc>
      </w:tr>
      <w:tr w:rsidR="00291BEF" w:rsidRPr="00C55ADB" w14:paraId="1B1F4629" w14:textId="77777777" w:rsidTr="0067458B">
        <w:trPr>
          <w:trHeight w:val="454"/>
        </w:trPr>
        <w:tc>
          <w:tcPr>
            <w:tcW w:w="1819" w:type="dxa"/>
            <w:vMerge/>
          </w:tcPr>
          <w:p w14:paraId="12BD3128" w14:textId="77777777" w:rsidR="00291BEF" w:rsidRPr="00C55ADB" w:rsidRDefault="00291BEF">
            <w:pPr>
              <w:suppressAutoHyphens w:val="0"/>
              <w:rPr>
                <w:rFonts w:ascii="Arial" w:hAnsi="Arial" w:cs="Arial"/>
                <w:b/>
                <w:sz w:val="22"/>
                <w:szCs w:val="22"/>
              </w:rPr>
            </w:pPr>
          </w:p>
        </w:tc>
        <w:tc>
          <w:tcPr>
            <w:tcW w:w="1525" w:type="dxa"/>
          </w:tcPr>
          <w:p w14:paraId="7F138200" w14:textId="77777777" w:rsidR="00291BEF" w:rsidRPr="00C55ADB" w:rsidRDefault="00291BEF">
            <w:pPr>
              <w:suppressAutoHyphens w:val="0"/>
              <w:spacing w:before="120" w:after="120"/>
              <w:rPr>
                <w:rFonts w:ascii="Arial" w:hAnsi="Arial" w:cs="Arial"/>
                <w:i/>
                <w:sz w:val="22"/>
                <w:szCs w:val="22"/>
              </w:rPr>
            </w:pPr>
            <w:r w:rsidRPr="00C55ADB">
              <w:rPr>
                <w:rFonts w:ascii="Arial" w:hAnsi="Arial" w:cs="Arial"/>
                <w:sz w:val="22"/>
                <w:szCs w:val="22"/>
              </w:rPr>
              <w:t>Content summary:</w:t>
            </w:r>
          </w:p>
        </w:tc>
        <w:tc>
          <w:tcPr>
            <w:tcW w:w="6337" w:type="dxa"/>
          </w:tcPr>
          <w:p w14:paraId="2A6F3C3A" w14:textId="77777777" w:rsidR="00291BEF" w:rsidRPr="00C55ADB" w:rsidRDefault="00291BEF">
            <w:pPr>
              <w:rPr>
                <w:rFonts w:ascii="Arial" w:hAnsi="Arial" w:cs="Arial"/>
                <w:sz w:val="22"/>
                <w:szCs w:val="22"/>
              </w:rPr>
            </w:pPr>
            <w:r w:rsidRPr="00C55ADB">
              <w:rPr>
                <w:rFonts w:ascii="Arial" w:hAnsi="Arial" w:cs="Arial"/>
                <w:sz w:val="22"/>
                <w:szCs w:val="22"/>
              </w:rPr>
              <w:t>The core business of Te Māngai Pāho is to provide funding for content that support more people valuing, learning and speaking te reo Māori across a range of broadcasting formats (</w:t>
            </w:r>
            <w:proofErr w:type="spellStart"/>
            <w:r w:rsidRPr="00C55ADB">
              <w:rPr>
                <w:rFonts w:ascii="Arial" w:hAnsi="Arial" w:cs="Arial"/>
                <w:sz w:val="22"/>
                <w:szCs w:val="22"/>
              </w:rPr>
              <w:t>eg</w:t>
            </w:r>
            <w:proofErr w:type="spellEnd"/>
            <w:r w:rsidRPr="00C55ADB">
              <w:rPr>
                <w:rFonts w:ascii="Arial" w:hAnsi="Arial" w:cs="Arial"/>
                <w:sz w:val="22"/>
                <w:szCs w:val="22"/>
              </w:rPr>
              <w:t xml:space="preserve">, radio, television, film, music and digital-first content). </w:t>
            </w:r>
          </w:p>
          <w:p w14:paraId="08664B39" w14:textId="77777777" w:rsidR="00291BEF" w:rsidRPr="00C55ADB" w:rsidRDefault="00291BEF">
            <w:pPr>
              <w:rPr>
                <w:rFonts w:ascii="Arial" w:hAnsi="Arial" w:cs="Arial"/>
                <w:sz w:val="22"/>
                <w:szCs w:val="22"/>
              </w:rPr>
            </w:pPr>
          </w:p>
          <w:p w14:paraId="57608E7D" w14:textId="77777777" w:rsidR="00291BEF" w:rsidRPr="00C55ADB" w:rsidRDefault="00291BEF">
            <w:pPr>
              <w:rPr>
                <w:rFonts w:ascii="Arial" w:hAnsi="Arial" w:cs="Arial"/>
                <w:sz w:val="22"/>
                <w:szCs w:val="22"/>
              </w:rPr>
            </w:pPr>
            <w:r w:rsidRPr="00C55ADB">
              <w:rPr>
                <w:rFonts w:ascii="Arial" w:hAnsi="Arial" w:cs="Arial"/>
                <w:sz w:val="22"/>
                <w:szCs w:val="22"/>
              </w:rPr>
              <w:t>The agency had revenue of $73 million for its work this year and deployed $66 million of funds.  Amongst other items they note work achievements of the year as being:</w:t>
            </w:r>
          </w:p>
          <w:p w14:paraId="2E4747E0" w14:textId="77777777" w:rsidR="00291BEF" w:rsidRPr="00C55ADB" w:rsidRDefault="00291BEF" w:rsidP="00291BEF">
            <w:pPr>
              <w:pStyle w:val="ListParagraph"/>
              <w:numPr>
                <w:ilvl w:val="0"/>
                <w:numId w:val="33"/>
              </w:numPr>
              <w:spacing w:before="120"/>
              <w:ind w:left="714" w:hanging="357"/>
              <w:rPr>
                <w:rFonts w:ascii="Arial" w:hAnsi="Arial" w:cs="Arial"/>
                <w:sz w:val="22"/>
                <w:szCs w:val="22"/>
              </w:rPr>
            </w:pPr>
            <w:r w:rsidRPr="00C55ADB">
              <w:rPr>
                <w:rFonts w:ascii="Arial" w:hAnsi="Arial" w:cs="Arial"/>
                <w:sz w:val="22"/>
                <w:szCs w:val="22"/>
              </w:rPr>
              <w:t xml:space="preserve">100+ new </w:t>
            </w:r>
            <w:proofErr w:type="spellStart"/>
            <w:r w:rsidRPr="00C55ADB">
              <w:rPr>
                <w:rFonts w:ascii="Arial" w:hAnsi="Arial" w:cs="Arial"/>
                <w:sz w:val="22"/>
                <w:szCs w:val="22"/>
              </w:rPr>
              <w:t>waiata</w:t>
            </w:r>
            <w:proofErr w:type="spellEnd"/>
            <w:r w:rsidRPr="00C55ADB">
              <w:rPr>
                <w:rFonts w:ascii="Arial" w:hAnsi="Arial" w:cs="Arial"/>
                <w:sz w:val="22"/>
                <w:szCs w:val="22"/>
              </w:rPr>
              <w:t xml:space="preserve"> reo Māori tracks funded</w:t>
            </w:r>
          </w:p>
          <w:p w14:paraId="7F9D1684" w14:textId="77777777" w:rsidR="00291BEF" w:rsidRPr="00C55ADB" w:rsidRDefault="00291BEF" w:rsidP="00291BEF">
            <w:pPr>
              <w:pStyle w:val="ListParagraph"/>
              <w:numPr>
                <w:ilvl w:val="0"/>
                <w:numId w:val="33"/>
              </w:numPr>
              <w:spacing w:before="120"/>
              <w:ind w:left="714" w:hanging="357"/>
              <w:rPr>
                <w:rFonts w:ascii="Arial" w:hAnsi="Arial" w:cs="Arial"/>
                <w:sz w:val="22"/>
                <w:szCs w:val="22"/>
              </w:rPr>
            </w:pPr>
            <w:r w:rsidRPr="00C55ADB">
              <w:rPr>
                <w:rFonts w:ascii="Arial" w:hAnsi="Arial" w:cs="Arial"/>
                <w:sz w:val="22"/>
                <w:szCs w:val="22"/>
              </w:rPr>
              <w:t xml:space="preserve">running 19 contestable funding roles, involving $42.5 million of </w:t>
            </w:r>
            <w:proofErr w:type="gramStart"/>
            <w:r w:rsidRPr="00C55ADB">
              <w:rPr>
                <w:rFonts w:ascii="Arial" w:hAnsi="Arial" w:cs="Arial"/>
                <w:sz w:val="22"/>
                <w:szCs w:val="22"/>
              </w:rPr>
              <w:t>funds;</w:t>
            </w:r>
            <w:proofErr w:type="gramEnd"/>
          </w:p>
          <w:p w14:paraId="4875C45B" w14:textId="77777777" w:rsidR="00291BEF" w:rsidRPr="00C55ADB" w:rsidRDefault="00291BEF" w:rsidP="00291BEF">
            <w:pPr>
              <w:pStyle w:val="ListParagraph"/>
              <w:numPr>
                <w:ilvl w:val="0"/>
                <w:numId w:val="33"/>
              </w:numPr>
              <w:spacing w:before="120"/>
              <w:ind w:left="714" w:hanging="357"/>
              <w:rPr>
                <w:rFonts w:ascii="Arial" w:hAnsi="Arial" w:cs="Arial"/>
                <w:sz w:val="22"/>
                <w:szCs w:val="22"/>
              </w:rPr>
            </w:pPr>
            <w:r w:rsidRPr="00C55ADB">
              <w:rPr>
                <w:rFonts w:ascii="Arial" w:hAnsi="Arial" w:cs="Arial"/>
                <w:sz w:val="22"/>
                <w:szCs w:val="22"/>
              </w:rPr>
              <w:t xml:space="preserve">funding 129 content </w:t>
            </w:r>
            <w:proofErr w:type="gramStart"/>
            <w:r w:rsidRPr="00C55ADB">
              <w:rPr>
                <w:rFonts w:ascii="Arial" w:hAnsi="Arial" w:cs="Arial"/>
                <w:sz w:val="22"/>
                <w:szCs w:val="22"/>
              </w:rPr>
              <w:t>creators;</w:t>
            </w:r>
            <w:proofErr w:type="gramEnd"/>
            <w:r w:rsidRPr="00C55ADB">
              <w:rPr>
                <w:rFonts w:ascii="Arial" w:hAnsi="Arial" w:cs="Arial"/>
                <w:sz w:val="22"/>
                <w:szCs w:val="22"/>
              </w:rPr>
              <w:t xml:space="preserve"> </w:t>
            </w:r>
          </w:p>
          <w:p w14:paraId="68FAC161" w14:textId="77777777" w:rsidR="00291BEF" w:rsidRPr="00C55ADB" w:rsidRDefault="00291BEF">
            <w:pPr>
              <w:rPr>
                <w:rFonts w:ascii="Arial" w:hAnsi="Arial" w:cs="Arial"/>
                <w:sz w:val="22"/>
                <w:szCs w:val="22"/>
              </w:rPr>
            </w:pPr>
          </w:p>
          <w:p w14:paraId="76D99CC6" w14:textId="77777777" w:rsidR="00291BEF" w:rsidRPr="00C55ADB" w:rsidRDefault="00291BEF">
            <w:pPr>
              <w:rPr>
                <w:rFonts w:ascii="Arial" w:hAnsi="Arial" w:cs="Arial"/>
                <w:sz w:val="22"/>
                <w:szCs w:val="22"/>
              </w:rPr>
            </w:pPr>
            <w:r w:rsidRPr="00C55ADB">
              <w:rPr>
                <w:rFonts w:ascii="Arial" w:hAnsi="Arial" w:cs="Arial"/>
                <w:sz w:val="22"/>
                <w:szCs w:val="22"/>
              </w:rPr>
              <w:t xml:space="preserve">As with past years the report also usefully sets out their strategy to achieve the vision of ‘Māori language – everywhere, every day, in every way!  This leads to foci on: (i) creators (nurturing Te Reo talent in the broadcasting sector); (ii) content (quality and innovation in Te Reo broadcasting); and (iii) audiences (growing audiences and better assuring Reo outcomes.  A key operational goal arising from this is ensuring 60% of context if for fluent speakers (not quite met), and </w:t>
            </w:r>
            <w:proofErr w:type="gramStart"/>
            <w:r w:rsidRPr="00C55ADB">
              <w:rPr>
                <w:rFonts w:ascii="Arial" w:hAnsi="Arial" w:cs="Arial"/>
                <w:sz w:val="22"/>
                <w:szCs w:val="22"/>
              </w:rPr>
              <w:t>at  east</w:t>
            </w:r>
            <w:proofErr w:type="gramEnd"/>
            <w:r w:rsidRPr="00C55ADB">
              <w:rPr>
                <w:rFonts w:ascii="Arial" w:hAnsi="Arial" w:cs="Arial"/>
                <w:sz w:val="22"/>
                <w:szCs w:val="22"/>
              </w:rPr>
              <w:t xml:space="preserve"> 25% of content funding is for new ideas/producers.</w:t>
            </w:r>
          </w:p>
          <w:p w14:paraId="15603F69" w14:textId="77777777" w:rsidR="00291BEF" w:rsidRPr="00C55ADB" w:rsidRDefault="00291BEF">
            <w:pPr>
              <w:rPr>
                <w:rFonts w:ascii="Arial" w:hAnsi="Arial" w:cs="Arial"/>
                <w:sz w:val="22"/>
                <w:szCs w:val="22"/>
              </w:rPr>
            </w:pPr>
          </w:p>
          <w:p w14:paraId="286D4CC7" w14:textId="77777777" w:rsidR="00291BEF" w:rsidRPr="00C55ADB" w:rsidRDefault="00291BEF">
            <w:pPr>
              <w:rPr>
                <w:rFonts w:ascii="Arial" w:hAnsi="Arial" w:cs="Arial"/>
                <w:sz w:val="22"/>
                <w:szCs w:val="22"/>
              </w:rPr>
            </w:pPr>
            <w:r w:rsidRPr="00C55ADB">
              <w:rPr>
                <w:rFonts w:ascii="Arial" w:hAnsi="Arial" w:cs="Arial"/>
                <w:sz w:val="22"/>
                <w:szCs w:val="22"/>
              </w:rPr>
              <w:t xml:space="preserve">This text is followed by impact measures, (see page 34), which in a complex way show most people surveyed felt the Māori broadcasting they watched/listened to </w:t>
            </w:r>
            <w:proofErr w:type="gramStart"/>
            <w:r w:rsidRPr="00C55ADB">
              <w:rPr>
                <w:rFonts w:ascii="Arial" w:hAnsi="Arial" w:cs="Arial"/>
                <w:sz w:val="22"/>
                <w:szCs w:val="22"/>
              </w:rPr>
              <w:t>increased</w:t>
            </w:r>
            <w:proofErr w:type="gramEnd"/>
            <w:r w:rsidRPr="00C55ADB">
              <w:rPr>
                <w:rFonts w:ascii="Arial" w:hAnsi="Arial" w:cs="Arial"/>
                <w:sz w:val="22"/>
                <w:szCs w:val="22"/>
              </w:rPr>
              <w:t xml:space="preserve"> their understanding of Te Reo, and that New Zealanders were increasing their understanding of tikanga Māori.  </w:t>
            </w:r>
          </w:p>
          <w:p w14:paraId="04273986" w14:textId="77777777" w:rsidR="00291BEF" w:rsidRPr="00C55ADB" w:rsidRDefault="00291BEF">
            <w:pPr>
              <w:rPr>
                <w:rFonts w:ascii="Arial" w:hAnsi="Arial" w:cs="Arial"/>
                <w:sz w:val="22"/>
                <w:szCs w:val="22"/>
              </w:rPr>
            </w:pPr>
          </w:p>
          <w:p w14:paraId="6FD68B3D" w14:textId="77777777" w:rsidR="00291BEF" w:rsidRPr="00C55ADB" w:rsidRDefault="00291BEF">
            <w:pPr>
              <w:rPr>
                <w:rFonts w:ascii="Arial" w:hAnsi="Arial" w:cs="Arial"/>
                <w:i/>
                <w:iCs/>
                <w:sz w:val="22"/>
                <w:szCs w:val="22"/>
              </w:rPr>
            </w:pPr>
            <w:r w:rsidRPr="00C55ADB">
              <w:rPr>
                <w:rFonts w:ascii="Arial" w:hAnsi="Arial" w:cs="Arial"/>
                <w:sz w:val="22"/>
                <w:szCs w:val="22"/>
              </w:rPr>
              <w:t>Our read of some measures is in this annual report is that Te Māngai Pāho is struggling to grow the impact of its work to support the outcomes it is seeking. Audiences for its programming are largely static, but the data is not as clear as in the past.  In simple terms, how many radio listeners are there, and what are the television viewership numbers?  Being vague does not make the value-for-money issues disappear, and if anything highlights that this entity needs a full reset.</w:t>
            </w:r>
          </w:p>
          <w:p w14:paraId="14A8A0E5" w14:textId="77777777" w:rsidR="00291BEF" w:rsidRPr="00C55ADB" w:rsidRDefault="00291BEF">
            <w:pPr>
              <w:ind w:left="282"/>
              <w:rPr>
                <w:rFonts w:ascii="Arial" w:hAnsi="Arial" w:cs="Arial"/>
                <w:i/>
                <w:iCs/>
                <w:sz w:val="22"/>
                <w:szCs w:val="22"/>
              </w:rPr>
            </w:pPr>
          </w:p>
          <w:p w14:paraId="24311CE0" w14:textId="77777777" w:rsidR="00291BEF" w:rsidRPr="00C55ADB" w:rsidRDefault="00291BE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
              <w:tblDescription w:val=""/>
            </w:tblPr>
            <w:tblGrid>
              <w:gridCol w:w="3237"/>
              <w:gridCol w:w="1859"/>
            </w:tblGrid>
            <w:tr w:rsidR="00291BEF" w:rsidRPr="00C55ADB" w14:paraId="55B8F5DA" w14:textId="77777777">
              <w:tc>
                <w:tcPr>
                  <w:tcW w:w="3237" w:type="dxa"/>
                  <w:tcMar>
                    <w:top w:w="80" w:type="dxa"/>
                    <w:left w:w="80" w:type="dxa"/>
                    <w:bottom w:w="80" w:type="dxa"/>
                    <w:right w:w="80" w:type="dxa"/>
                  </w:tcMar>
                  <w:hideMark/>
                </w:tcPr>
                <w:p w14:paraId="0B2D933F" w14:textId="77777777" w:rsidR="00291BEF" w:rsidRPr="00C55ADB" w:rsidRDefault="00291BEF">
                  <w:pPr>
                    <w:rPr>
                      <w:rFonts w:ascii="Arial" w:hAnsi="Arial" w:cs="Arial"/>
                      <w:sz w:val="22"/>
                      <w:szCs w:val="22"/>
                    </w:rPr>
                  </w:pPr>
                  <w:r w:rsidRPr="00C55ADB">
                    <w:rPr>
                      <w:rFonts w:ascii="Arial" w:hAnsi="Arial" w:cs="Arial"/>
                      <w:sz w:val="22"/>
                      <w:szCs w:val="22"/>
                      <w:lang w:val="en-US"/>
                    </w:rPr>
                    <w:t> </w:t>
                  </w:r>
                  <w:r w:rsidRPr="00C55ADB">
                    <w:rPr>
                      <w:rFonts w:ascii="Arial" w:hAnsi="Arial" w:cs="Arial"/>
                      <w:b/>
                      <w:bCs/>
                      <w:sz w:val="22"/>
                      <w:szCs w:val="22"/>
                    </w:rPr>
                    <w:t>Financial Performance Headlines</w:t>
                  </w:r>
                </w:p>
              </w:tc>
              <w:tc>
                <w:tcPr>
                  <w:tcW w:w="1859" w:type="dxa"/>
                  <w:tcMar>
                    <w:top w:w="80" w:type="dxa"/>
                    <w:left w:w="80" w:type="dxa"/>
                    <w:bottom w:w="80" w:type="dxa"/>
                    <w:right w:w="80" w:type="dxa"/>
                  </w:tcMar>
                  <w:hideMark/>
                </w:tcPr>
                <w:p w14:paraId="6E769181" w14:textId="77777777" w:rsidR="00291BEF" w:rsidRPr="00C55ADB" w:rsidRDefault="00291BEF">
                  <w:pPr>
                    <w:rPr>
                      <w:rFonts w:ascii="Arial" w:hAnsi="Arial" w:cs="Arial"/>
                      <w:sz w:val="22"/>
                      <w:szCs w:val="22"/>
                    </w:rPr>
                  </w:pPr>
                  <w:r w:rsidRPr="00C55ADB">
                    <w:rPr>
                      <w:rFonts w:ascii="Arial" w:hAnsi="Arial" w:cs="Arial"/>
                      <w:b/>
                      <w:bCs/>
                      <w:sz w:val="22"/>
                      <w:szCs w:val="22"/>
                    </w:rPr>
                    <w:t>2025 results</w:t>
                  </w:r>
                </w:p>
              </w:tc>
            </w:tr>
            <w:tr w:rsidR="00291BEF" w:rsidRPr="00C55ADB" w14:paraId="72D37CE1" w14:textId="77777777">
              <w:tc>
                <w:tcPr>
                  <w:tcW w:w="3237" w:type="dxa"/>
                  <w:tcMar>
                    <w:top w:w="80" w:type="dxa"/>
                    <w:left w:w="80" w:type="dxa"/>
                    <w:bottom w:w="80" w:type="dxa"/>
                    <w:right w:w="80" w:type="dxa"/>
                  </w:tcMar>
                  <w:hideMark/>
                </w:tcPr>
                <w:p w14:paraId="33BC8CEE" w14:textId="77777777" w:rsidR="00291BEF" w:rsidRPr="00C55ADB" w:rsidRDefault="00291BEF">
                  <w:pPr>
                    <w:rPr>
                      <w:rFonts w:ascii="Arial" w:hAnsi="Arial" w:cs="Arial"/>
                      <w:sz w:val="22"/>
                      <w:szCs w:val="22"/>
                    </w:rPr>
                  </w:pPr>
                  <w:r w:rsidRPr="00C55ADB">
                    <w:rPr>
                      <w:rFonts w:ascii="Arial" w:hAnsi="Arial" w:cs="Arial"/>
                      <w:sz w:val="22"/>
                      <w:szCs w:val="22"/>
                    </w:rPr>
                    <w:t>Revenue</w:t>
                  </w:r>
                </w:p>
              </w:tc>
              <w:tc>
                <w:tcPr>
                  <w:tcW w:w="1859" w:type="dxa"/>
                  <w:tcMar>
                    <w:top w:w="80" w:type="dxa"/>
                    <w:left w:w="80" w:type="dxa"/>
                    <w:bottom w:w="80" w:type="dxa"/>
                    <w:right w:w="80" w:type="dxa"/>
                  </w:tcMar>
                  <w:hideMark/>
                </w:tcPr>
                <w:p w14:paraId="63774D0B" w14:textId="77777777" w:rsidR="00291BEF" w:rsidRPr="00C55ADB" w:rsidRDefault="00291BEF">
                  <w:pPr>
                    <w:rPr>
                      <w:rFonts w:ascii="Arial" w:hAnsi="Arial" w:cs="Arial"/>
                      <w:sz w:val="22"/>
                      <w:szCs w:val="22"/>
                    </w:rPr>
                  </w:pPr>
                  <w:r w:rsidRPr="00C55ADB">
                    <w:rPr>
                      <w:rFonts w:ascii="Arial" w:hAnsi="Arial" w:cs="Arial"/>
                      <w:sz w:val="22"/>
                      <w:szCs w:val="22"/>
                    </w:rPr>
                    <w:t>$69.0 million</w:t>
                  </w:r>
                </w:p>
              </w:tc>
            </w:tr>
            <w:tr w:rsidR="00291BEF" w:rsidRPr="00C55ADB" w14:paraId="1D30B2BB" w14:textId="77777777">
              <w:tc>
                <w:tcPr>
                  <w:tcW w:w="3237" w:type="dxa"/>
                  <w:tcMar>
                    <w:top w:w="80" w:type="dxa"/>
                    <w:left w:w="80" w:type="dxa"/>
                    <w:bottom w:w="80" w:type="dxa"/>
                    <w:right w:w="80" w:type="dxa"/>
                  </w:tcMar>
                  <w:hideMark/>
                </w:tcPr>
                <w:p w14:paraId="366AB46E" w14:textId="77777777" w:rsidR="00291BEF" w:rsidRPr="00C55ADB" w:rsidRDefault="00291BEF">
                  <w:pPr>
                    <w:rPr>
                      <w:rFonts w:ascii="Arial" w:hAnsi="Arial" w:cs="Arial"/>
                      <w:sz w:val="22"/>
                      <w:szCs w:val="22"/>
                    </w:rPr>
                  </w:pPr>
                  <w:r w:rsidRPr="00C55ADB">
                    <w:rPr>
                      <w:rFonts w:ascii="Arial" w:hAnsi="Arial" w:cs="Arial"/>
                      <w:sz w:val="22"/>
                      <w:szCs w:val="22"/>
                    </w:rPr>
                    <w:t xml:space="preserve">Expenses </w:t>
                  </w:r>
                </w:p>
              </w:tc>
              <w:tc>
                <w:tcPr>
                  <w:tcW w:w="1859" w:type="dxa"/>
                  <w:tcMar>
                    <w:top w:w="80" w:type="dxa"/>
                    <w:left w:w="80" w:type="dxa"/>
                    <w:bottom w:w="80" w:type="dxa"/>
                    <w:right w:w="80" w:type="dxa"/>
                  </w:tcMar>
                  <w:hideMark/>
                </w:tcPr>
                <w:p w14:paraId="3698C0FE" w14:textId="77777777" w:rsidR="00291BEF" w:rsidRPr="00C55ADB" w:rsidRDefault="00291BEF">
                  <w:pPr>
                    <w:rPr>
                      <w:rFonts w:ascii="Arial" w:hAnsi="Arial" w:cs="Arial"/>
                      <w:sz w:val="22"/>
                      <w:szCs w:val="22"/>
                    </w:rPr>
                  </w:pPr>
                  <w:r w:rsidRPr="00C55ADB">
                    <w:rPr>
                      <w:rFonts w:ascii="Arial" w:hAnsi="Arial" w:cs="Arial"/>
                      <w:sz w:val="22"/>
                      <w:szCs w:val="22"/>
                    </w:rPr>
                    <w:t>$67.0 million</w:t>
                  </w:r>
                </w:p>
              </w:tc>
            </w:tr>
            <w:tr w:rsidR="00291BEF" w:rsidRPr="00C55ADB" w14:paraId="7A363D7B" w14:textId="77777777">
              <w:tc>
                <w:tcPr>
                  <w:tcW w:w="3237" w:type="dxa"/>
                  <w:tcMar>
                    <w:top w:w="80" w:type="dxa"/>
                    <w:left w:w="80" w:type="dxa"/>
                    <w:bottom w:w="80" w:type="dxa"/>
                    <w:right w:w="80" w:type="dxa"/>
                  </w:tcMar>
                  <w:hideMark/>
                </w:tcPr>
                <w:p w14:paraId="70457D55" w14:textId="77777777" w:rsidR="00291BEF" w:rsidRPr="00C55ADB" w:rsidRDefault="00291BEF">
                  <w:pPr>
                    <w:rPr>
                      <w:rFonts w:ascii="Arial" w:hAnsi="Arial" w:cs="Arial"/>
                      <w:b/>
                      <w:bCs/>
                      <w:sz w:val="22"/>
                      <w:szCs w:val="22"/>
                    </w:rPr>
                  </w:pPr>
                  <w:r w:rsidRPr="00C55ADB">
                    <w:rPr>
                      <w:rFonts w:ascii="Arial" w:hAnsi="Arial" w:cs="Arial"/>
                      <w:b/>
                      <w:bCs/>
                      <w:sz w:val="22"/>
                      <w:szCs w:val="22"/>
                    </w:rPr>
                    <w:t>Surplus</w:t>
                  </w:r>
                </w:p>
              </w:tc>
              <w:tc>
                <w:tcPr>
                  <w:tcW w:w="1859" w:type="dxa"/>
                  <w:tcMar>
                    <w:top w:w="80" w:type="dxa"/>
                    <w:left w:w="80" w:type="dxa"/>
                    <w:bottom w:w="80" w:type="dxa"/>
                    <w:right w:w="80" w:type="dxa"/>
                  </w:tcMar>
                  <w:hideMark/>
                </w:tcPr>
                <w:p w14:paraId="34E61812" w14:textId="77777777" w:rsidR="00291BEF" w:rsidRPr="00C55ADB" w:rsidRDefault="00291BEF">
                  <w:pPr>
                    <w:rPr>
                      <w:rFonts w:ascii="Arial" w:hAnsi="Arial" w:cs="Arial"/>
                      <w:sz w:val="22"/>
                      <w:szCs w:val="22"/>
                    </w:rPr>
                  </w:pPr>
                  <w:r w:rsidRPr="00C55ADB">
                    <w:rPr>
                      <w:rFonts w:ascii="Arial" w:hAnsi="Arial" w:cs="Arial"/>
                      <w:sz w:val="22"/>
                      <w:szCs w:val="22"/>
                    </w:rPr>
                    <w:t>$2.0 million</w:t>
                  </w:r>
                </w:p>
              </w:tc>
            </w:tr>
          </w:tbl>
          <w:p w14:paraId="0DE19AD0" w14:textId="77777777" w:rsidR="00291BEF" w:rsidRPr="00C55ADB" w:rsidRDefault="00291BEF">
            <w:pPr>
              <w:rPr>
                <w:rFonts w:ascii="Arial" w:hAnsi="Arial" w:cs="Arial"/>
                <w:sz w:val="22"/>
                <w:szCs w:val="22"/>
              </w:rPr>
            </w:pPr>
            <w:r w:rsidRPr="00C55ADB">
              <w:rPr>
                <w:rFonts w:ascii="Arial" w:hAnsi="Arial" w:cs="Arial"/>
                <w:sz w:val="22"/>
                <w:szCs w:val="22"/>
              </w:rPr>
              <w:t> </w:t>
            </w:r>
          </w:p>
          <w:p w14:paraId="22FCCC3F" w14:textId="77777777" w:rsidR="00291BEF" w:rsidRPr="00C55ADB" w:rsidRDefault="00291BE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
              <w:tblDescription w:val=""/>
            </w:tblPr>
            <w:tblGrid>
              <w:gridCol w:w="1698"/>
              <w:gridCol w:w="1957"/>
              <w:gridCol w:w="2456"/>
            </w:tblGrid>
            <w:tr w:rsidR="00291BEF" w:rsidRPr="00C55ADB" w14:paraId="56E0263F" w14:textId="77777777">
              <w:tc>
                <w:tcPr>
                  <w:tcW w:w="1795" w:type="dxa"/>
                  <w:tcMar>
                    <w:top w:w="80" w:type="dxa"/>
                    <w:left w:w="80" w:type="dxa"/>
                    <w:bottom w:w="80" w:type="dxa"/>
                    <w:right w:w="80" w:type="dxa"/>
                  </w:tcMar>
                  <w:hideMark/>
                </w:tcPr>
                <w:p w14:paraId="57344695" w14:textId="77777777" w:rsidR="00291BEF" w:rsidRPr="00C55ADB" w:rsidRDefault="00291BEF">
                  <w:pPr>
                    <w:rPr>
                      <w:rFonts w:ascii="Arial" w:hAnsi="Arial" w:cs="Arial"/>
                      <w:sz w:val="22"/>
                      <w:szCs w:val="22"/>
                    </w:rPr>
                  </w:pPr>
                  <w:r w:rsidRPr="00C55ADB">
                    <w:rPr>
                      <w:rFonts w:ascii="Arial" w:hAnsi="Arial" w:cs="Arial"/>
                      <w:b/>
                      <w:bCs/>
                      <w:sz w:val="22"/>
                      <w:szCs w:val="22"/>
                    </w:rPr>
                    <w:t>Financial Position Headlines</w:t>
                  </w:r>
                </w:p>
              </w:tc>
              <w:tc>
                <w:tcPr>
                  <w:tcW w:w="2167" w:type="dxa"/>
                  <w:tcMar>
                    <w:top w:w="80" w:type="dxa"/>
                    <w:left w:w="80" w:type="dxa"/>
                    <w:bottom w:w="80" w:type="dxa"/>
                    <w:right w:w="80" w:type="dxa"/>
                  </w:tcMar>
                  <w:hideMark/>
                </w:tcPr>
                <w:p w14:paraId="0B8496BA" w14:textId="77777777" w:rsidR="00291BEF" w:rsidRPr="00C55ADB" w:rsidRDefault="00291BEF">
                  <w:pPr>
                    <w:rPr>
                      <w:rFonts w:ascii="Arial" w:hAnsi="Arial" w:cs="Arial"/>
                      <w:sz w:val="22"/>
                      <w:szCs w:val="22"/>
                    </w:rPr>
                  </w:pPr>
                  <w:r w:rsidRPr="00C55ADB">
                    <w:rPr>
                      <w:rFonts w:ascii="Arial" w:hAnsi="Arial" w:cs="Arial"/>
                      <w:b/>
                      <w:bCs/>
                      <w:sz w:val="22"/>
                      <w:szCs w:val="22"/>
                    </w:rPr>
                    <w:t>2025 results</w:t>
                  </w:r>
                </w:p>
              </w:tc>
              <w:tc>
                <w:tcPr>
                  <w:tcW w:w="2674" w:type="dxa"/>
                  <w:tcMar>
                    <w:top w:w="80" w:type="dxa"/>
                    <w:left w:w="80" w:type="dxa"/>
                    <w:bottom w:w="80" w:type="dxa"/>
                    <w:right w:w="80" w:type="dxa"/>
                  </w:tcMar>
                  <w:hideMark/>
                </w:tcPr>
                <w:p w14:paraId="789713D1" w14:textId="77777777" w:rsidR="00291BEF" w:rsidRPr="00C55ADB" w:rsidRDefault="00291BEF">
                  <w:pPr>
                    <w:rPr>
                      <w:rFonts w:ascii="Arial" w:hAnsi="Arial" w:cs="Arial"/>
                      <w:sz w:val="22"/>
                      <w:szCs w:val="22"/>
                    </w:rPr>
                  </w:pPr>
                  <w:r w:rsidRPr="00C55ADB">
                    <w:rPr>
                      <w:rFonts w:ascii="Arial" w:hAnsi="Arial" w:cs="Arial"/>
                      <w:b/>
                      <w:bCs/>
                      <w:sz w:val="22"/>
                      <w:szCs w:val="22"/>
                    </w:rPr>
                    <w:t>Notes</w:t>
                  </w:r>
                </w:p>
              </w:tc>
            </w:tr>
            <w:tr w:rsidR="00291BEF" w:rsidRPr="00C55ADB" w14:paraId="0DFD489A" w14:textId="77777777">
              <w:tc>
                <w:tcPr>
                  <w:tcW w:w="1795" w:type="dxa"/>
                  <w:tcMar>
                    <w:top w:w="80" w:type="dxa"/>
                    <w:left w:w="80" w:type="dxa"/>
                    <w:bottom w:w="80" w:type="dxa"/>
                    <w:right w:w="80" w:type="dxa"/>
                  </w:tcMar>
                  <w:hideMark/>
                </w:tcPr>
                <w:p w14:paraId="70281953" w14:textId="77777777" w:rsidR="00291BEF" w:rsidRPr="00C55ADB" w:rsidRDefault="00291BEF">
                  <w:pPr>
                    <w:rPr>
                      <w:rFonts w:ascii="Arial" w:hAnsi="Arial" w:cs="Arial"/>
                      <w:sz w:val="22"/>
                      <w:szCs w:val="22"/>
                    </w:rPr>
                  </w:pPr>
                  <w:r w:rsidRPr="00C55ADB">
                    <w:rPr>
                      <w:rFonts w:ascii="Arial" w:hAnsi="Arial" w:cs="Arial"/>
                      <w:sz w:val="22"/>
                      <w:szCs w:val="22"/>
                    </w:rPr>
                    <w:t>Total Assets</w:t>
                  </w:r>
                </w:p>
              </w:tc>
              <w:tc>
                <w:tcPr>
                  <w:tcW w:w="2167" w:type="dxa"/>
                  <w:tcMar>
                    <w:top w:w="80" w:type="dxa"/>
                    <w:left w:w="80" w:type="dxa"/>
                    <w:bottom w:w="80" w:type="dxa"/>
                    <w:right w:w="80" w:type="dxa"/>
                  </w:tcMar>
                  <w:hideMark/>
                </w:tcPr>
                <w:p w14:paraId="4D606835" w14:textId="77777777" w:rsidR="00291BEF" w:rsidRPr="00C55ADB" w:rsidRDefault="00291BEF">
                  <w:pPr>
                    <w:rPr>
                      <w:rFonts w:ascii="Arial" w:hAnsi="Arial" w:cs="Arial"/>
                      <w:sz w:val="22"/>
                      <w:szCs w:val="22"/>
                    </w:rPr>
                  </w:pPr>
                  <w:r w:rsidRPr="00C55ADB">
                    <w:rPr>
                      <w:rFonts w:ascii="Arial" w:hAnsi="Arial" w:cs="Arial"/>
                      <w:sz w:val="22"/>
                      <w:szCs w:val="22"/>
                    </w:rPr>
                    <w:t>$35.3 million</w:t>
                  </w:r>
                </w:p>
              </w:tc>
              <w:tc>
                <w:tcPr>
                  <w:tcW w:w="2674" w:type="dxa"/>
                  <w:tcMar>
                    <w:top w:w="80" w:type="dxa"/>
                    <w:left w:w="80" w:type="dxa"/>
                    <w:bottom w:w="80" w:type="dxa"/>
                    <w:right w:w="80" w:type="dxa"/>
                  </w:tcMar>
                  <w:hideMark/>
                </w:tcPr>
                <w:p w14:paraId="068A9831" w14:textId="77777777" w:rsidR="00291BEF" w:rsidRPr="00C55ADB" w:rsidRDefault="00291BEF">
                  <w:pPr>
                    <w:rPr>
                      <w:rFonts w:ascii="Arial" w:hAnsi="Arial" w:cs="Arial"/>
                      <w:sz w:val="22"/>
                      <w:szCs w:val="22"/>
                    </w:rPr>
                  </w:pPr>
                  <w:r w:rsidRPr="00C55ADB">
                    <w:rPr>
                      <w:rFonts w:ascii="Arial" w:hAnsi="Arial" w:cs="Arial"/>
                      <w:sz w:val="22"/>
                      <w:szCs w:val="22"/>
                    </w:rPr>
                    <w:t> Includes $15m of investments</w:t>
                  </w:r>
                </w:p>
              </w:tc>
            </w:tr>
            <w:tr w:rsidR="00291BEF" w:rsidRPr="00C55ADB" w14:paraId="7D2587EF" w14:textId="77777777">
              <w:tc>
                <w:tcPr>
                  <w:tcW w:w="1795" w:type="dxa"/>
                  <w:tcMar>
                    <w:top w:w="80" w:type="dxa"/>
                    <w:left w:w="80" w:type="dxa"/>
                    <w:bottom w:w="80" w:type="dxa"/>
                    <w:right w:w="80" w:type="dxa"/>
                  </w:tcMar>
                  <w:hideMark/>
                </w:tcPr>
                <w:p w14:paraId="48D6E348" w14:textId="77777777" w:rsidR="00291BEF" w:rsidRPr="00C55ADB" w:rsidRDefault="00291BEF">
                  <w:pPr>
                    <w:rPr>
                      <w:rFonts w:ascii="Arial" w:hAnsi="Arial" w:cs="Arial"/>
                      <w:sz w:val="22"/>
                      <w:szCs w:val="22"/>
                    </w:rPr>
                  </w:pPr>
                  <w:r w:rsidRPr="00C55ADB">
                    <w:rPr>
                      <w:rFonts w:ascii="Arial" w:hAnsi="Arial" w:cs="Arial"/>
                      <w:sz w:val="22"/>
                      <w:szCs w:val="22"/>
                    </w:rPr>
                    <w:t>Total Liabilities</w:t>
                  </w:r>
                </w:p>
              </w:tc>
              <w:tc>
                <w:tcPr>
                  <w:tcW w:w="2167" w:type="dxa"/>
                  <w:tcMar>
                    <w:top w:w="80" w:type="dxa"/>
                    <w:left w:w="80" w:type="dxa"/>
                    <w:bottom w:w="80" w:type="dxa"/>
                    <w:right w:w="80" w:type="dxa"/>
                  </w:tcMar>
                  <w:hideMark/>
                </w:tcPr>
                <w:p w14:paraId="76DA28DB" w14:textId="77777777" w:rsidR="00291BEF" w:rsidRPr="00C55ADB" w:rsidRDefault="00291BEF">
                  <w:pPr>
                    <w:rPr>
                      <w:rFonts w:ascii="Arial" w:hAnsi="Arial" w:cs="Arial"/>
                      <w:sz w:val="22"/>
                      <w:szCs w:val="22"/>
                    </w:rPr>
                  </w:pPr>
                  <w:r w:rsidRPr="00C55ADB">
                    <w:rPr>
                      <w:rFonts w:ascii="Arial" w:hAnsi="Arial" w:cs="Arial"/>
                      <w:sz w:val="22"/>
                      <w:szCs w:val="22"/>
                    </w:rPr>
                    <w:t>$28.8 million</w:t>
                  </w:r>
                </w:p>
              </w:tc>
              <w:tc>
                <w:tcPr>
                  <w:tcW w:w="2674" w:type="dxa"/>
                  <w:tcMar>
                    <w:top w:w="80" w:type="dxa"/>
                    <w:left w:w="80" w:type="dxa"/>
                    <w:bottom w:w="80" w:type="dxa"/>
                    <w:right w:w="80" w:type="dxa"/>
                  </w:tcMar>
                  <w:hideMark/>
                </w:tcPr>
                <w:p w14:paraId="2A5E4263" w14:textId="77777777" w:rsidR="00291BEF" w:rsidRPr="00C55ADB" w:rsidRDefault="00291BEF">
                  <w:pPr>
                    <w:rPr>
                      <w:rFonts w:ascii="Arial" w:hAnsi="Arial" w:cs="Arial"/>
                      <w:sz w:val="22"/>
                      <w:szCs w:val="22"/>
                    </w:rPr>
                  </w:pPr>
                  <w:r w:rsidRPr="00C55ADB">
                    <w:rPr>
                      <w:rFonts w:ascii="Arial" w:hAnsi="Arial" w:cs="Arial"/>
                      <w:sz w:val="22"/>
                      <w:szCs w:val="22"/>
                    </w:rPr>
                    <w:t>TMP has high liabilities as it has active contracts in hand at the end of each financial year.  This is of no salient concern</w:t>
                  </w:r>
                </w:p>
              </w:tc>
            </w:tr>
            <w:tr w:rsidR="00291BEF" w:rsidRPr="00C55ADB" w14:paraId="0CB662E0" w14:textId="77777777">
              <w:tc>
                <w:tcPr>
                  <w:tcW w:w="1795" w:type="dxa"/>
                  <w:tcMar>
                    <w:top w:w="80" w:type="dxa"/>
                    <w:left w:w="80" w:type="dxa"/>
                    <w:bottom w:w="80" w:type="dxa"/>
                    <w:right w:w="80" w:type="dxa"/>
                  </w:tcMar>
                  <w:hideMark/>
                </w:tcPr>
                <w:p w14:paraId="23DCCFF7" w14:textId="77777777" w:rsidR="00291BEF" w:rsidRPr="00C55ADB" w:rsidRDefault="00291BEF">
                  <w:pPr>
                    <w:rPr>
                      <w:rFonts w:ascii="Arial" w:hAnsi="Arial" w:cs="Arial"/>
                      <w:sz w:val="22"/>
                      <w:szCs w:val="22"/>
                    </w:rPr>
                  </w:pPr>
                  <w:r w:rsidRPr="00C55ADB">
                    <w:rPr>
                      <w:rFonts w:ascii="Arial" w:hAnsi="Arial" w:cs="Arial"/>
                      <w:b/>
                      <w:bCs/>
                      <w:sz w:val="22"/>
                      <w:szCs w:val="22"/>
                    </w:rPr>
                    <w:t xml:space="preserve">Equity </w:t>
                  </w:r>
                </w:p>
              </w:tc>
              <w:tc>
                <w:tcPr>
                  <w:tcW w:w="2167" w:type="dxa"/>
                  <w:tcMar>
                    <w:top w:w="80" w:type="dxa"/>
                    <w:left w:w="80" w:type="dxa"/>
                    <w:bottom w:w="80" w:type="dxa"/>
                    <w:right w:w="80" w:type="dxa"/>
                  </w:tcMar>
                  <w:hideMark/>
                </w:tcPr>
                <w:p w14:paraId="6922FF2F" w14:textId="77777777" w:rsidR="00291BEF" w:rsidRPr="00C55ADB" w:rsidRDefault="00291BEF">
                  <w:pPr>
                    <w:rPr>
                      <w:rFonts w:ascii="Arial" w:hAnsi="Arial" w:cs="Arial"/>
                      <w:sz w:val="22"/>
                      <w:szCs w:val="22"/>
                    </w:rPr>
                  </w:pPr>
                  <w:r w:rsidRPr="00C55ADB">
                    <w:rPr>
                      <w:rFonts w:ascii="Arial" w:hAnsi="Arial" w:cs="Arial"/>
                      <w:sz w:val="22"/>
                      <w:szCs w:val="22"/>
                    </w:rPr>
                    <w:t>$6.5 million</w:t>
                  </w:r>
                </w:p>
              </w:tc>
              <w:tc>
                <w:tcPr>
                  <w:tcW w:w="2674" w:type="dxa"/>
                  <w:tcMar>
                    <w:top w:w="80" w:type="dxa"/>
                    <w:left w:w="80" w:type="dxa"/>
                    <w:bottom w:w="80" w:type="dxa"/>
                    <w:right w:w="80" w:type="dxa"/>
                  </w:tcMar>
                  <w:hideMark/>
                </w:tcPr>
                <w:p w14:paraId="7EA4A0B6" w14:textId="77777777" w:rsidR="00291BEF" w:rsidRPr="00C55ADB" w:rsidRDefault="00291BEF">
                  <w:pPr>
                    <w:rPr>
                      <w:rFonts w:ascii="Arial" w:hAnsi="Arial" w:cs="Arial"/>
                      <w:sz w:val="22"/>
                      <w:szCs w:val="22"/>
                    </w:rPr>
                  </w:pPr>
                  <w:r w:rsidRPr="00C55ADB">
                    <w:rPr>
                      <w:rFonts w:ascii="Arial" w:hAnsi="Arial" w:cs="Arial"/>
                      <w:sz w:val="22"/>
                      <w:szCs w:val="22"/>
                    </w:rPr>
                    <w:t> </w:t>
                  </w:r>
                </w:p>
              </w:tc>
            </w:tr>
          </w:tbl>
          <w:p w14:paraId="4BFBEF7C" w14:textId="77777777" w:rsidR="00291BEF" w:rsidRPr="00C55ADB" w:rsidRDefault="00291BEF">
            <w:pPr>
              <w:suppressAutoHyphens w:val="0"/>
              <w:spacing w:before="120" w:after="120"/>
              <w:rPr>
                <w:rFonts w:ascii="Arial" w:hAnsi="Arial" w:cs="Arial"/>
                <w:bCs/>
                <w:sz w:val="22"/>
                <w:szCs w:val="22"/>
              </w:rPr>
            </w:pPr>
          </w:p>
        </w:tc>
      </w:tr>
      <w:tr w:rsidR="00291BEF" w:rsidRPr="00C55ADB" w14:paraId="480B620E" w14:textId="77777777" w:rsidTr="0067458B">
        <w:trPr>
          <w:trHeight w:val="454"/>
        </w:trPr>
        <w:tc>
          <w:tcPr>
            <w:tcW w:w="1819" w:type="dxa"/>
            <w:vMerge/>
          </w:tcPr>
          <w:p w14:paraId="19D34BC5" w14:textId="77777777" w:rsidR="00291BEF" w:rsidRPr="00C55ADB" w:rsidRDefault="00291BEF">
            <w:pPr>
              <w:suppressAutoHyphens w:val="0"/>
              <w:rPr>
                <w:rFonts w:ascii="Arial" w:hAnsi="Arial" w:cs="Arial"/>
                <w:b/>
                <w:sz w:val="22"/>
                <w:szCs w:val="22"/>
              </w:rPr>
            </w:pPr>
          </w:p>
        </w:tc>
        <w:tc>
          <w:tcPr>
            <w:tcW w:w="1525" w:type="dxa"/>
          </w:tcPr>
          <w:p w14:paraId="5A0E72DF" w14:textId="77777777" w:rsidR="00291BEF" w:rsidRPr="00C55ADB" w:rsidRDefault="00291BEF">
            <w:pPr>
              <w:suppressAutoHyphens w:val="0"/>
              <w:spacing w:before="120" w:after="120"/>
              <w:rPr>
                <w:rFonts w:ascii="Arial" w:hAnsi="Arial" w:cs="Arial"/>
                <w:sz w:val="22"/>
                <w:szCs w:val="22"/>
              </w:rPr>
            </w:pPr>
            <w:r w:rsidRPr="00C55ADB">
              <w:rPr>
                <w:rFonts w:ascii="Arial" w:hAnsi="Arial" w:cs="Arial"/>
                <w:sz w:val="22"/>
                <w:szCs w:val="22"/>
              </w:rPr>
              <w:t>Quality rating:</w:t>
            </w:r>
          </w:p>
        </w:tc>
        <w:tc>
          <w:tcPr>
            <w:tcW w:w="6337" w:type="dxa"/>
          </w:tcPr>
          <w:p w14:paraId="7759B897" w14:textId="77777777" w:rsidR="00291BEF" w:rsidRPr="00C55ADB" w:rsidRDefault="00291BEF">
            <w:pPr>
              <w:suppressAutoHyphens w:val="0"/>
              <w:spacing w:before="120" w:after="120"/>
              <w:rPr>
                <w:rFonts w:ascii="Arial" w:hAnsi="Arial" w:cs="Arial"/>
                <w:bCs/>
                <w:sz w:val="22"/>
                <w:szCs w:val="22"/>
              </w:rPr>
            </w:pPr>
            <w:r w:rsidRPr="00BA389A">
              <w:rPr>
                <w:rFonts w:ascii="Arial" w:hAnsi="Arial" w:cs="Arial"/>
                <w:sz w:val="22"/>
                <w:szCs w:val="18"/>
              </w:rPr>
              <w:t>Marginal</w:t>
            </w:r>
          </w:p>
        </w:tc>
      </w:tr>
      <w:tr w:rsidR="00291BEF" w:rsidRPr="00C55ADB" w14:paraId="1DFEA366" w14:textId="77777777" w:rsidTr="0067458B">
        <w:trPr>
          <w:trHeight w:val="454"/>
        </w:trPr>
        <w:tc>
          <w:tcPr>
            <w:tcW w:w="1819" w:type="dxa"/>
            <w:vMerge/>
          </w:tcPr>
          <w:p w14:paraId="77BD8DD2" w14:textId="77777777" w:rsidR="00291BEF" w:rsidRPr="00C55ADB" w:rsidRDefault="00291BEF">
            <w:pPr>
              <w:suppressAutoHyphens w:val="0"/>
              <w:rPr>
                <w:rFonts w:ascii="Arial" w:hAnsi="Arial" w:cs="Arial"/>
                <w:b/>
                <w:sz w:val="22"/>
                <w:szCs w:val="22"/>
              </w:rPr>
            </w:pPr>
          </w:p>
        </w:tc>
        <w:tc>
          <w:tcPr>
            <w:tcW w:w="1525" w:type="dxa"/>
          </w:tcPr>
          <w:p w14:paraId="3DF6B038" w14:textId="77777777" w:rsidR="00291BEF" w:rsidRPr="00C55ADB" w:rsidRDefault="00291BEF">
            <w:pPr>
              <w:suppressAutoHyphens w:val="0"/>
              <w:spacing w:before="120" w:after="120"/>
              <w:rPr>
                <w:rFonts w:ascii="Arial" w:hAnsi="Arial" w:cs="Arial"/>
                <w:sz w:val="22"/>
                <w:szCs w:val="22"/>
              </w:rPr>
            </w:pPr>
            <w:r w:rsidRPr="00C55ADB">
              <w:rPr>
                <w:rFonts w:ascii="Arial" w:hAnsi="Arial" w:cs="Arial"/>
                <w:sz w:val="22"/>
                <w:szCs w:val="22"/>
              </w:rPr>
              <w:t>Assessment rationale summary:</w:t>
            </w:r>
          </w:p>
        </w:tc>
        <w:tc>
          <w:tcPr>
            <w:tcW w:w="6337" w:type="dxa"/>
          </w:tcPr>
          <w:p w14:paraId="3BD322CB" w14:textId="77777777" w:rsidR="00291BEF" w:rsidRPr="00C55ADB" w:rsidRDefault="00291BEF">
            <w:pPr>
              <w:suppressAutoHyphens w:val="0"/>
              <w:spacing w:before="120" w:after="120"/>
              <w:rPr>
                <w:rFonts w:ascii="Arial" w:hAnsi="Arial" w:cs="Arial"/>
                <w:bCs/>
                <w:sz w:val="22"/>
                <w:szCs w:val="22"/>
              </w:rPr>
            </w:pPr>
            <w:r w:rsidRPr="00C55ADB">
              <w:rPr>
                <w:rFonts w:ascii="Arial" w:hAnsi="Arial" w:cs="Arial"/>
                <w:bCs/>
                <w:sz w:val="22"/>
                <w:szCs w:val="22"/>
              </w:rPr>
              <w:t xml:space="preserve">TMP report provides more words and less information than in the </w:t>
            </w:r>
            <w:proofErr w:type="gramStart"/>
            <w:r w:rsidRPr="00C55ADB">
              <w:rPr>
                <w:rFonts w:ascii="Arial" w:hAnsi="Arial" w:cs="Arial"/>
                <w:bCs/>
                <w:sz w:val="22"/>
                <w:szCs w:val="22"/>
              </w:rPr>
              <w:t>past</w:t>
            </w:r>
            <w:proofErr w:type="gramEnd"/>
            <w:r w:rsidRPr="00C55ADB">
              <w:rPr>
                <w:rFonts w:ascii="Arial" w:hAnsi="Arial" w:cs="Arial"/>
                <w:bCs/>
                <w:sz w:val="22"/>
                <w:szCs w:val="22"/>
              </w:rPr>
              <w:t xml:space="preserve"> so it is difficult to get a clear picture of what is funded, despite their survey data around ‘right-shifting’ (a </w:t>
            </w:r>
            <w:proofErr w:type="spellStart"/>
            <w:r w:rsidRPr="00C55ADB">
              <w:rPr>
                <w:rFonts w:ascii="Arial" w:hAnsi="Arial" w:cs="Arial"/>
                <w:bCs/>
                <w:sz w:val="22"/>
                <w:szCs w:val="22"/>
              </w:rPr>
              <w:t>self developed</w:t>
            </w:r>
            <w:proofErr w:type="spellEnd"/>
            <w:r w:rsidRPr="00C55ADB">
              <w:rPr>
                <w:rFonts w:ascii="Arial" w:hAnsi="Arial" w:cs="Arial"/>
                <w:bCs/>
                <w:sz w:val="22"/>
                <w:szCs w:val="22"/>
              </w:rPr>
              <w:t xml:space="preserve"> and promoted unique-to-them language revitalisation theory). </w:t>
            </w:r>
          </w:p>
          <w:p w14:paraId="2DEAA668" w14:textId="77777777" w:rsidR="00291BEF" w:rsidRPr="00C55ADB" w:rsidRDefault="00291BEF">
            <w:pPr>
              <w:suppressAutoHyphens w:val="0"/>
              <w:spacing w:before="120" w:after="120"/>
              <w:rPr>
                <w:rFonts w:ascii="Arial" w:hAnsi="Arial" w:cs="Arial"/>
                <w:bCs/>
                <w:sz w:val="22"/>
                <w:szCs w:val="22"/>
              </w:rPr>
            </w:pPr>
            <w:r w:rsidRPr="00BA389A">
              <w:rPr>
                <w:rFonts w:ascii="Arial" w:hAnsi="Arial" w:cs="Arial"/>
                <w:sz w:val="22"/>
                <w:szCs w:val="18"/>
              </w:rPr>
              <w:t xml:space="preserve">In our view there are also other strategic matters presenting for Te Māngai </w:t>
            </w:r>
            <w:proofErr w:type="gramStart"/>
            <w:r w:rsidRPr="00BA389A">
              <w:rPr>
                <w:rFonts w:ascii="Arial" w:hAnsi="Arial" w:cs="Arial"/>
                <w:sz w:val="22"/>
                <w:szCs w:val="18"/>
              </w:rPr>
              <w:t>Pāho  (</w:t>
            </w:r>
            <w:proofErr w:type="gramEnd"/>
            <w:r w:rsidRPr="00BA389A">
              <w:rPr>
                <w:rFonts w:ascii="Arial" w:hAnsi="Arial" w:cs="Arial"/>
                <w:sz w:val="22"/>
                <w:szCs w:val="18"/>
              </w:rPr>
              <w:t xml:space="preserve">discussed in our introduction).  These relate to whether the agency is still relevant, or whether the world has moved on from micro agencies and competitive funding management to a more collaborative approach and the nature of ‘broadcasting’ has changed radically.  </w:t>
            </w:r>
          </w:p>
        </w:tc>
      </w:tr>
    </w:tbl>
    <w:p w14:paraId="1ED29A0A" w14:textId="77777777" w:rsidR="00291BEF" w:rsidRDefault="00291BEF" w:rsidP="00512709">
      <w:pPr>
        <w:pStyle w:val="BodyText"/>
        <w:suppressAutoHyphens w:val="0"/>
        <w:rPr>
          <w:rFonts w:cs="Arial"/>
          <w:b/>
          <w:szCs w:val="24"/>
        </w:rPr>
      </w:pPr>
    </w:p>
    <w:tbl>
      <w:tblPr>
        <w:tblStyle w:val="TableGrid"/>
        <w:tblW w:w="0" w:type="auto"/>
        <w:tblInd w:w="-856" w:type="dxa"/>
        <w:tblLook w:val="04A0" w:firstRow="1" w:lastRow="0" w:firstColumn="1" w:lastColumn="0" w:noHBand="0" w:noVBand="1"/>
      </w:tblPr>
      <w:tblGrid>
        <w:gridCol w:w="1819"/>
        <w:gridCol w:w="1525"/>
        <w:gridCol w:w="6337"/>
      </w:tblGrid>
      <w:tr w:rsidR="00291BEF" w:rsidRPr="00C55ADB" w14:paraId="35915008" w14:textId="77777777" w:rsidTr="0067458B">
        <w:trPr>
          <w:trHeight w:val="454"/>
        </w:trPr>
        <w:tc>
          <w:tcPr>
            <w:tcW w:w="1819" w:type="dxa"/>
            <w:vMerge w:val="restart"/>
          </w:tcPr>
          <w:p w14:paraId="44178A6C" w14:textId="77777777" w:rsidR="00A436EF" w:rsidRPr="00C55ADB" w:rsidRDefault="00A436EF" w:rsidP="00A436EF">
            <w:pPr>
              <w:suppressAutoHyphens w:val="0"/>
              <w:spacing w:before="120"/>
              <w:rPr>
                <w:rFonts w:ascii="Arial" w:hAnsi="Arial" w:cs="Arial"/>
                <w:b/>
                <w:sz w:val="22"/>
                <w:szCs w:val="22"/>
              </w:rPr>
            </w:pPr>
            <w:r w:rsidRPr="00C55ADB">
              <w:rPr>
                <w:rFonts w:ascii="Arial" w:hAnsi="Arial" w:cs="Arial"/>
                <w:b/>
                <w:sz w:val="22"/>
                <w:szCs w:val="22"/>
              </w:rPr>
              <w:t>Te Reo Māori</w:t>
            </w:r>
          </w:p>
          <w:p w14:paraId="41327C84" w14:textId="77777777" w:rsidR="00291BEF" w:rsidRPr="00C55ADB" w:rsidRDefault="00291BEF">
            <w:pPr>
              <w:suppressAutoHyphens w:val="0"/>
              <w:rPr>
                <w:rFonts w:ascii="Arial" w:hAnsi="Arial" w:cs="Arial"/>
                <w:b/>
                <w:sz w:val="22"/>
                <w:szCs w:val="22"/>
              </w:rPr>
            </w:pPr>
          </w:p>
          <w:p w14:paraId="48DFA4BA" w14:textId="77777777" w:rsidR="00291BEF" w:rsidRPr="00C55ADB" w:rsidRDefault="00291BEF">
            <w:pPr>
              <w:rPr>
                <w:rFonts w:ascii="Arial" w:hAnsi="Arial" w:cs="Arial"/>
                <w:b/>
                <w:sz w:val="22"/>
                <w:szCs w:val="22"/>
              </w:rPr>
            </w:pPr>
            <w:r w:rsidRPr="00C55ADB">
              <w:rPr>
                <w:rFonts w:ascii="Arial" w:hAnsi="Arial" w:cs="Arial"/>
                <w:b/>
                <w:sz w:val="22"/>
                <w:szCs w:val="22"/>
              </w:rPr>
              <w:t>Pānui 05/2026</w:t>
            </w:r>
          </w:p>
        </w:tc>
        <w:tc>
          <w:tcPr>
            <w:tcW w:w="1525" w:type="dxa"/>
          </w:tcPr>
          <w:p w14:paraId="46BF4611" w14:textId="77777777" w:rsidR="00291BEF" w:rsidRPr="00C55ADB" w:rsidRDefault="00291BEF">
            <w:pPr>
              <w:suppressAutoHyphens w:val="0"/>
              <w:spacing w:before="120" w:after="120"/>
              <w:rPr>
                <w:rFonts w:ascii="Arial" w:hAnsi="Arial" w:cs="Arial"/>
                <w:i/>
                <w:sz w:val="22"/>
                <w:szCs w:val="22"/>
              </w:rPr>
            </w:pPr>
            <w:r w:rsidRPr="00C55ADB">
              <w:rPr>
                <w:rFonts w:ascii="Arial" w:hAnsi="Arial" w:cs="Arial"/>
                <w:b/>
                <w:sz w:val="22"/>
                <w:szCs w:val="22"/>
              </w:rPr>
              <w:t>Item:</w:t>
            </w:r>
          </w:p>
        </w:tc>
        <w:tc>
          <w:tcPr>
            <w:tcW w:w="6337" w:type="dxa"/>
          </w:tcPr>
          <w:p w14:paraId="32EFD37E" w14:textId="77777777" w:rsidR="00291BEF" w:rsidRPr="00C55ADB" w:rsidRDefault="00291BEF">
            <w:pPr>
              <w:pStyle w:val="BodyText"/>
              <w:spacing w:before="120"/>
              <w:rPr>
                <w:rFonts w:cs="Arial"/>
                <w:sz w:val="22"/>
                <w:szCs w:val="22"/>
              </w:rPr>
            </w:pPr>
            <w:proofErr w:type="spellStart"/>
            <w:r w:rsidRPr="00171E25">
              <w:rPr>
                <w:rFonts w:asciiTheme="majorHAnsi" w:hAnsiTheme="majorHAnsi"/>
                <w:b/>
                <w:sz w:val="22"/>
                <w:szCs w:val="18"/>
              </w:rPr>
              <w:t>Whakaata</w:t>
            </w:r>
            <w:proofErr w:type="spellEnd"/>
            <w:r w:rsidRPr="00171E25">
              <w:rPr>
                <w:rFonts w:asciiTheme="majorHAnsi" w:hAnsiTheme="majorHAnsi"/>
                <w:b/>
                <w:sz w:val="22"/>
                <w:szCs w:val="18"/>
              </w:rPr>
              <w:t xml:space="preserve"> Māori Annual Report 2024/2025</w:t>
            </w:r>
          </w:p>
        </w:tc>
      </w:tr>
      <w:tr w:rsidR="00291BEF" w:rsidRPr="00C55ADB" w14:paraId="4902585D" w14:textId="77777777" w:rsidTr="0067458B">
        <w:trPr>
          <w:trHeight w:val="454"/>
        </w:trPr>
        <w:tc>
          <w:tcPr>
            <w:tcW w:w="1819" w:type="dxa"/>
            <w:vMerge/>
          </w:tcPr>
          <w:p w14:paraId="22B812C8" w14:textId="77777777" w:rsidR="00291BEF" w:rsidRPr="00C55ADB" w:rsidRDefault="00291BEF">
            <w:pPr>
              <w:rPr>
                <w:rFonts w:ascii="Arial" w:hAnsi="Arial" w:cs="Arial"/>
                <w:b/>
                <w:sz w:val="22"/>
                <w:szCs w:val="22"/>
              </w:rPr>
            </w:pPr>
          </w:p>
        </w:tc>
        <w:tc>
          <w:tcPr>
            <w:tcW w:w="1525" w:type="dxa"/>
          </w:tcPr>
          <w:p w14:paraId="0AB54E43" w14:textId="77777777" w:rsidR="00291BEF" w:rsidRPr="00C55ADB" w:rsidRDefault="00291BEF">
            <w:pPr>
              <w:suppressAutoHyphens w:val="0"/>
              <w:spacing w:before="120" w:after="120"/>
              <w:rPr>
                <w:rFonts w:ascii="Arial" w:hAnsi="Arial" w:cs="Arial"/>
                <w:i/>
                <w:sz w:val="22"/>
                <w:szCs w:val="22"/>
              </w:rPr>
            </w:pPr>
            <w:r w:rsidRPr="00C55ADB">
              <w:rPr>
                <w:rFonts w:ascii="Arial" w:hAnsi="Arial" w:cs="Arial"/>
                <w:sz w:val="22"/>
                <w:szCs w:val="22"/>
              </w:rPr>
              <w:t>Publisher:</w:t>
            </w:r>
          </w:p>
        </w:tc>
        <w:tc>
          <w:tcPr>
            <w:tcW w:w="6337" w:type="dxa"/>
          </w:tcPr>
          <w:p w14:paraId="68881E61" w14:textId="77777777" w:rsidR="00291BEF" w:rsidRPr="00C55ADB" w:rsidRDefault="00291BEF">
            <w:pPr>
              <w:pStyle w:val="BodyText"/>
              <w:spacing w:before="120"/>
              <w:rPr>
                <w:rFonts w:cs="Arial"/>
                <w:sz w:val="22"/>
                <w:szCs w:val="22"/>
              </w:rPr>
            </w:pPr>
            <w:proofErr w:type="spellStart"/>
            <w:r w:rsidRPr="00C55ADB">
              <w:rPr>
                <w:rFonts w:cs="Arial"/>
                <w:sz w:val="22"/>
                <w:szCs w:val="22"/>
              </w:rPr>
              <w:t>Whakaata</w:t>
            </w:r>
            <w:proofErr w:type="spellEnd"/>
            <w:r w:rsidRPr="00C55ADB">
              <w:rPr>
                <w:rFonts w:cs="Arial"/>
                <w:sz w:val="22"/>
                <w:szCs w:val="22"/>
              </w:rPr>
              <w:t xml:space="preserve"> Māori</w:t>
            </w:r>
          </w:p>
        </w:tc>
      </w:tr>
      <w:tr w:rsidR="00291BEF" w:rsidRPr="00C55ADB" w14:paraId="7DAEC661" w14:textId="77777777" w:rsidTr="0067458B">
        <w:trPr>
          <w:trHeight w:val="454"/>
        </w:trPr>
        <w:tc>
          <w:tcPr>
            <w:tcW w:w="1819" w:type="dxa"/>
            <w:vMerge/>
          </w:tcPr>
          <w:p w14:paraId="7A04BB8D" w14:textId="77777777" w:rsidR="00291BEF" w:rsidRPr="00C55ADB" w:rsidRDefault="00291BEF">
            <w:pPr>
              <w:suppressAutoHyphens w:val="0"/>
              <w:rPr>
                <w:rFonts w:ascii="Arial" w:hAnsi="Arial" w:cs="Arial"/>
                <w:b/>
                <w:sz w:val="22"/>
                <w:szCs w:val="22"/>
              </w:rPr>
            </w:pPr>
          </w:p>
        </w:tc>
        <w:tc>
          <w:tcPr>
            <w:tcW w:w="1525" w:type="dxa"/>
          </w:tcPr>
          <w:p w14:paraId="229C1346" w14:textId="77777777" w:rsidR="00291BEF" w:rsidRPr="00C55ADB" w:rsidRDefault="00291BEF">
            <w:pPr>
              <w:suppressAutoHyphens w:val="0"/>
              <w:spacing w:before="120" w:after="120"/>
              <w:rPr>
                <w:rFonts w:ascii="Arial" w:hAnsi="Arial" w:cs="Arial"/>
                <w:i/>
                <w:sz w:val="22"/>
                <w:szCs w:val="22"/>
              </w:rPr>
            </w:pPr>
            <w:r w:rsidRPr="00C55ADB">
              <w:rPr>
                <w:rFonts w:ascii="Arial" w:hAnsi="Arial" w:cs="Arial"/>
                <w:sz w:val="22"/>
                <w:szCs w:val="22"/>
              </w:rPr>
              <w:t>Content summary:</w:t>
            </w:r>
          </w:p>
        </w:tc>
        <w:tc>
          <w:tcPr>
            <w:tcW w:w="6337" w:type="dxa"/>
          </w:tcPr>
          <w:p w14:paraId="589C326E" w14:textId="77777777" w:rsidR="00291BEF" w:rsidRPr="00C55ADB" w:rsidRDefault="00291BEF">
            <w:pPr>
              <w:suppressAutoHyphens w:val="0"/>
              <w:rPr>
                <w:rFonts w:ascii="Arial" w:hAnsi="Arial" w:cs="Arial"/>
                <w:sz w:val="22"/>
                <w:szCs w:val="22"/>
              </w:rPr>
            </w:pPr>
            <w:r w:rsidRPr="00C55ADB">
              <w:rPr>
                <w:rFonts w:ascii="Arial" w:hAnsi="Arial" w:cs="Arial"/>
                <w:sz w:val="22"/>
                <w:szCs w:val="22"/>
              </w:rPr>
              <w:t xml:space="preserve">This annual report sets out the financial and non-financial performance of </w:t>
            </w:r>
            <w:proofErr w:type="spellStart"/>
            <w:r w:rsidRPr="00C55ADB">
              <w:rPr>
                <w:rFonts w:ascii="Arial" w:hAnsi="Arial" w:cs="Arial"/>
                <w:sz w:val="22"/>
                <w:szCs w:val="22"/>
              </w:rPr>
              <w:t>Whakaata</w:t>
            </w:r>
            <w:proofErr w:type="spellEnd"/>
            <w:r w:rsidRPr="00C55ADB">
              <w:rPr>
                <w:rFonts w:ascii="Arial" w:hAnsi="Arial" w:cs="Arial"/>
                <w:sz w:val="22"/>
                <w:szCs w:val="22"/>
              </w:rPr>
              <w:t xml:space="preserve"> Māori for 2023/24.</w:t>
            </w:r>
          </w:p>
          <w:p w14:paraId="7B47832B" w14:textId="77777777" w:rsidR="00291BEF" w:rsidRPr="00C55ADB" w:rsidRDefault="00291BEF">
            <w:pPr>
              <w:suppressAutoHyphens w:val="0"/>
              <w:rPr>
                <w:rFonts w:ascii="Arial" w:hAnsi="Arial" w:cs="Arial"/>
                <w:sz w:val="22"/>
                <w:szCs w:val="22"/>
              </w:rPr>
            </w:pPr>
            <w:r w:rsidRPr="00C55ADB">
              <w:rPr>
                <w:rFonts w:ascii="Arial" w:hAnsi="Arial" w:cs="Arial"/>
                <w:sz w:val="22"/>
                <w:szCs w:val="22"/>
              </w:rPr>
              <w:t xml:space="preserve">It commences with opening statements from their Chair, Jamie Tuuta, and then their Chief Executive, Shane Taurima.  The focus is on transforming </w:t>
            </w:r>
            <w:proofErr w:type="spellStart"/>
            <w:r w:rsidRPr="00C55ADB">
              <w:rPr>
                <w:rFonts w:ascii="Arial" w:hAnsi="Arial" w:cs="Arial"/>
                <w:sz w:val="22"/>
                <w:szCs w:val="22"/>
              </w:rPr>
              <w:t>Whakaata</w:t>
            </w:r>
            <w:proofErr w:type="spellEnd"/>
            <w:r w:rsidRPr="00C55ADB">
              <w:rPr>
                <w:rFonts w:ascii="Arial" w:hAnsi="Arial" w:cs="Arial"/>
                <w:sz w:val="22"/>
                <w:szCs w:val="22"/>
              </w:rPr>
              <w:t xml:space="preserve"> Māori from a traditional television service to a digital multimedia entity, their </w:t>
            </w:r>
            <w:proofErr w:type="gramStart"/>
            <w:r w:rsidRPr="00C55ADB">
              <w:rPr>
                <w:rFonts w:ascii="Arial" w:hAnsi="Arial" w:cs="Arial"/>
                <w:sz w:val="22"/>
                <w:szCs w:val="22"/>
              </w:rPr>
              <w:t>plans for the future</w:t>
            </w:r>
            <w:proofErr w:type="gramEnd"/>
            <w:r w:rsidRPr="00C55ADB">
              <w:rPr>
                <w:rFonts w:ascii="Arial" w:hAnsi="Arial" w:cs="Arial"/>
                <w:sz w:val="22"/>
                <w:szCs w:val="22"/>
              </w:rPr>
              <w:t>, and discuss financial challenges ahead.  They also note the service is said to “generate $114 million in measurable social value”.</w:t>
            </w:r>
          </w:p>
          <w:p w14:paraId="01800754" w14:textId="77777777" w:rsidR="00291BEF" w:rsidRPr="00C55ADB" w:rsidRDefault="00291BEF">
            <w:pPr>
              <w:suppressAutoHyphens w:val="0"/>
              <w:rPr>
                <w:rFonts w:ascii="Arial" w:hAnsi="Arial" w:cs="Arial"/>
                <w:sz w:val="22"/>
                <w:szCs w:val="22"/>
              </w:rPr>
            </w:pPr>
            <w:r w:rsidRPr="00C55ADB">
              <w:rPr>
                <w:rFonts w:ascii="Arial" w:hAnsi="Arial" w:cs="Arial"/>
                <w:sz w:val="22"/>
                <w:szCs w:val="22"/>
              </w:rPr>
              <w:t>In terms of deliverables, this report provides a range of factorials on viewer numbers and outcomes, some results of note being:</w:t>
            </w:r>
          </w:p>
          <w:p w14:paraId="27A5DAFD" w14:textId="77777777" w:rsidR="00291BEF" w:rsidRPr="00C55ADB" w:rsidRDefault="00291BEF">
            <w:pPr>
              <w:suppressAutoHyphens w:val="0"/>
              <w:rPr>
                <w:rFonts w:ascii="Arial" w:hAnsi="Arial" w:cs="Arial"/>
                <w:sz w:val="22"/>
                <w:szCs w:val="22"/>
              </w:rPr>
            </w:pPr>
          </w:p>
          <w:p w14:paraId="20CEDB9A" w14:textId="77777777" w:rsidR="00291BEF" w:rsidRPr="00C55ADB" w:rsidRDefault="00291BEF" w:rsidP="00291BEF">
            <w:pPr>
              <w:pStyle w:val="ListParagraph"/>
              <w:numPr>
                <w:ilvl w:val="0"/>
                <w:numId w:val="34"/>
              </w:numPr>
              <w:suppressAutoHyphens w:val="0"/>
              <w:ind w:left="714" w:hanging="357"/>
              <w:rPr>
                <w:rFonts w:ascii="Arial" w:hAnsi="Arial" w:cs="Arial"/>
                <w:sz w:val="22"/>
                <w:szCs w:val="22"/>
              </w:rPr>
            </w:pPr>
            <w:r w:rsidRPr="00C55ADB">
              <w:rPr>
                <w:rFonts w:ascii="Arial" w:hAnsi="Arial" w:cs="Arial"/>
                <w:sz w:val="22"/>
                <w:szCs w:val="22"/>
              </w:rPr>
              <w:t xml:space="preserve">74% of views use more Reo in everyday </w:t>
            </w:r>
            <w:proofErr w:type="gramStart"/>
            <w:r w:rsidRPr="00C55ADB">
              <w:rPr>
                <w:rFonts w:ascii="Arial" w:hAnsi="Arial" w:cs="Arial"/>
                <w:sz w:val="22"/>
                <w:szCs w:val="22"/>
              </w:rPr>
              <w:t>life;</w:t>
            </w:r>
            <w:proofErr w:type="gramEnd"/>
          </w:p>
          <w:p w14:paraId="3ACB710F" w14:textId="77777777" w:rsidR="00291BEF" w:rsidRPr="00C55ADB" w:rsidRDefault="00291BEF" w:rsidP="00291BEF">
            <w:pPr>
              <w:pStyle w:val="ListParagraph"/>
              <w:numPr>
                <w:ilvl w:val="0"/>
                <w:numId w:val="34"/>
              </w:numPr>
              <w:suppressAutoHyphens w:val="0"/>
              <w:ind w:left="714" w:hanging="357"/>
              <w:rPr>
                <w:rFonts w:ascii="Arial" w:hAnsi="Arial" w:cs="Arial"/>
                <w:sz w:val="22"/>
                <w:szCs w:val="22"/>
              </w:rPr>
            </w:pPr>
            <w:r w:rsidRPr="00C55ADB">
              <w:rPr>
                <w:rFonts w:ascii="Arial" w:hAnsi="Arial" w:cs="Arial"/>
                <w:sz w:val="22"/>
                <w:szCs w:val="22"/>
              </w:rPr>
              <w:t>92% of non-Māori viewers say the content has strengthened their understanding of Māori culture and perspectives</w:t>
            </w:r>
          </w:p>
          <w:p w14:paraId="29BD20EF" w14:textId="77777777" w:rsidR="00291BEF" w:rsidRPr="00C55ADB" w:rsidRDefault="00291BEF" w:rsidP="00291BEF">
            <w:pPr>
              <w:pStyle w:val="ListParagraph"/>
              <w:numPr>
                <w:ilvl w:val="0"/>
                <w:numId w:val="34"/>
              </w:numPr>
              <w:suppressAutoHyphens w:val="0"/>
              <w:ind w:left="714" w:hanging="357"/>
              <w:rPr>
                <w:rFonts w:ascii="Arial" w:hAnsi="Arial" w:cs="Arial"/>
                <w:sz w:val="22"/>
                <w:szCs w:val="22"/>
              </w:rPr>
            </w:pPr>
            <w:r w:rsidRPr="00C55ADB">
              <w:rPr>
                <w:rFonts w:ascii="Arial" w:hAnsi="Arial" w:cs="Arial"/>
                <w:sz w:val="22"/>
                <w:szCs w:val="22"/>
              </w:rPr>
              <w:t>Their social media reach is said to be 654 million (unsure if that is people, site visits, or clicks).  On another page it is 7.7 million.</w:t>
            </w:r>
          </w:p>
          <w:p w14:paraId="57A52FC3" w14:textId="77777777" w:rsidR="00291BEF" w:rsidRPr="00C55ADB" w:rsidRDefault="00291BEF">
            <w:pPr>
              <w:pStyle w:val="ListParagraph"/>
              <w:suppressAutoHyphens w:val="0"/>
              <w:ind w:left="714"/>
              <w:rPr>
                <w:rFonts w:ascii="Arial" w:hAnsi="Arial" w:cs="Arial"/>
                <w:sz w:val="22"/>
                <w:szCs w:val="22"/>
              </w:rPr>
            </w:pPr>
          </w:p>
          <w:p w14:paraId="77263BDB" w14:textId="77777777" w:rsidR="00291BEF" w:rsidRPr="00C55ADB" w:rsidRDefault="00291BEF">
            <w:pPr>
              <w:suppressAutoHyphens w:val="0"/>
              <w:rPr>
                <w:rFonts w:ascii="Arial" w:hAnsi="Arial" w:cs="Arial"/>
                <w:sz w:val="22"/>
                <w:szCs w:val="22"/>
              </w:rPr>
            </w:pPr>
            <w:r w:rsidRPr="00C55ADB">
              <w:rPr>
                <w:rFonts w:ascii="Arial" w:hAnsi="Arial" w:cs="Arial"/>
                <w:sz w:val="22"/>
                <w:szCs w:val="22"/>
              </w:rPr>
              <w:t>The report then sets out their values and guiding strategic framework – they are all about their guiding stars, with the main one representing “</w:t>
            </w:r>
            <w:r w:rsidRPr="00C55ADB">
              <w:rPr>
                <w:rFonts w:ascii="Arial" w:hAnsi="Arial" w:cs="Arial"/>
                <w:i/>
                <w:iCs/>
                <w:sz w:val="22"/>
                <w:szCs w:val="22"/>
                <w:lang w:val="en-US"/>
              </w:rPr>
              <w:t>kia mauri ora te reo”, (</w:t>
            </w:r>
            <w:proofErr w:type="gramStart"/>
            <w:r w:rsidRPr="00C55ADB">
              <w:rPr>
                <w:rFonts w:ascii="Arial" w:hAnsi="Arial" w:cs="Arial"/>
                <w:i/>
                <w:iCs/>
                <w:sz w:val="22"/>
                <w:szCs w:val="22"/>
                <w:lang w:val="en-US"/>
              </w:rPr>
              <w:t>an</w:t>
            </w:r>
            <w:proofErr w:type="gramEnd"/>
            <w:r w:rsidRPr="00C55ADB">
              <w:rPr>
                <w:rFonts w:ascii="Arial" w:hAnsi="Arial" w:cs="Arial"/>
                <w:i/>
                <w:iCs/>
                <w:sz w:val="22"/>
                <w:szCs w:val="22"/>
                <w:lang w:val="en-US"/>
              </w:rPr>
              <w:t xml:space="preserve"> future where the Māori language is spoken everywhere and all the time.”</w:t>
            </w:r>
            <w:r w:rsidRPr="00C55ADB">
              <w:rPr>
                <w:rFonts w:ascii="Arial" w:hAnsi="Arial" w:cs="Arial"/>
                <w:sz w:val="22"/>
                <w:szCs w:val="22"/>
              </w:rPr>
              <w:t xml:space="preserve"> </w:t>
            </w:r>
          </w:p>
          <w:p w14:paraId="10D32F9B" w14:textId="77777777" w:rsidR="00291BEF" w:rsidRPr="00C55ADB" w:rsidRDefault="00291BEF">
            <w:pPr>
              <w:suppressAutoHyphens w:val="0"/>
              <w:rPr>
                <w:rFonts w:ascii="Arial" w:hAnsi="Arial" w:cs="Arial"/>
                <w:sz w:val="22"/>
                <w:szCs w:val="22"/>
              </w:rPr>
            </w:pPr>
          </w:p>
          <w:p w14:paraId="10D60848" w14:textId="77777777" w:rsidR="00291BEF" w:rsidRPr="00C55ADB" w:rsidRDefault="00291BEF">
            <w:pPr>
              <w:suppressAutoHyphens w:val="0"/>
              <w:rPr>
                <w:rFonts w:ascii="Arial" w:hAnsi="Arial" w:cs="Arial"/>
                <w:sz w:val="22"/>
                <w:szCs w:val="22"/>
              </w:rPr>
            </w:pPr>
            <w:r w:rsidRPr="00C55ADB">
              <w:rPr>
                <w:rFonts w:ascii="Arial" w:hAnsi="Arial" w:cs="Arial"/>
                <w:sz w:val="22"/>
                <w:szCs w:val="22"/>
              </w:rPr>
              <w:t>The report also provides information about numbers of viewers (both generally and for specific programming) and users across various social media platforms, with a particular focus on some major events (</w:t>
            </w:r>
            <w:proofErr w:type="spellStart"/>
            <w:r w:rsidRPr="00C55ADB">
              <w:rPr>
                <w:rFonts w:ascii="Arial" w:hAnsi="Arial" w:cs="Arial"/>
                <w:sz w:val="22"/>
                <w:szCs w:val="22"/>
              </w:rPr>
              <w:t>eg</w:t>
            </w:r>
            <w:proofErr w:type="spellEnd"/>
            <w:r w:rsidRPr="00C55ADB">
              <w:rPr>
                <w:rFonts w:ascii="Arial" w:hAnsi="Arial" w:cs="Arial"/>
                <w:sz w:val="22"/>
                <w:szCs w:val="22"/>
              </w:rPr>
              <w:t xml:space="preserve"> te Tangihanga of </w:t>
            </w:r>
            <w:proofErr w:type="spellStart"/>
            <w:r w:rsidRPr="00C55ADB">
              <w:rPr>
                <w:rFonts w:ascii="Arial" w:hAnsi="Arial" w:cs="Arial"/>
                <w:sz w:val="22"/>
                <w:szCs w:val="22"/>
              </w:rPr>
              <w:t>Kiingi</w:t>
            </w:r>
            <w:proofErr w:type="spellEnd"/>
            <w:r w:rsidRPr="00C55ADB">
              <w:rPr>
                <w:rFonts w:ascii="Arial" w:hAnsi="Arial" w:cs="Arial"/>
                <w:sz w:val="22"/>
                <w:szCs w:val="22"/>
              </w:rPr>
              <w:t xml:space="preserve"> </w:t>
            </w:r>
            <w:proofErr w:type="spellStart"/>
            <w:r w:rsidRPr="00C55ADB">
              <w:rPr>
                <w:rFonts w:ascii="Arial" w:hAnsi="Arial" w:cs="Arial"/>
                <w:sz w:val="22"/>
                <w:szCs w:val="22"/>
              </w:rPr>
              <w:t>Tūheitia</w:t>
            </w:r>
            <w:proofErr w:type="spellEnd"/>
            <w:r w:rsidRPr="00C55ADB">
              <w:rPr>
                <w:rFonts w:ascii="Arial" w:hAnsi="Arial" w:cs="Arial"/>
                <w:sz w:val="22"/>
                <w:szCs w:val="22"/>
              </w:rPr>
              <w:t xml:space="preserve">, Waka Ama, Waitangi Day, and the Haka World record). </w:t>
            </w:r>
          </w:p>
          <w:p w14:paraId="7E0863C1" w14:textId="77777777" w:rsidR="00291BEF" w:rsidRPr="00C55ADB" w:rsidRDefault="00291BEF">
            <w:pPr>
              <w:suppressAutoHyphens w:val="0"/>
              <w:rPr>
                <w:rFonts w:ascii="Arial" w:hAnsi="Arial" w:cs="Arial"/>
                <w:sz w:val="22"/>
                <w:szCs w:val="22"/>
                <w:highlight w:val="yellow"/>
              </w:rPr>
            </w:pPr>
          </w:p>
          <w:p w14:paraId="22E7ECC2" w14:textId="77777777" w:rsidR="00291BEF" w:rsidRPr="00C55ADB" w:rsidRDefault="00291BEF">
            <w:pPr>
              <w:suppressAutoHyphens w:val="0"/>
              <w:rPr>
                <w:rFonts w:ascii="Arial" w:hAnsi="Arial" w:cs="Arial"/>
                <w:sz w:val="22"/>
                <w:szCs w:val="22"/>
              </w:rPr>
            </w:pPr>
            <w:r w:rsidRPr="00C55ADB">
              <w:rPr>
                <w:rFonts w:ascii="Arial" w:hAnsi="Arial" w:cs="Arial"/>
                <w:sz w:val="22"/>
                <w:szCs w:val="22"/>
              </w:rPr>
              <w:t xml:space="preserve">The impact statement (page 33) also has good information on the effectiveness of the service, with their data showing 74% of whānau viewers saying their language had increased through watching content, and that the service facilities immersion environments for raising tamariki (81% agreement).  </w:t>
            </w:r>
            <w:proofErr w:type="spellStart"/>
            <w:proofErr w:type="gramStart"/>
            <w:r w:rsidRPr="00C55ADB">
              <w:rPr>
                <w:rFonts w:ascii="Arial" w:hAnsi="Arial" w:cs="Arial"/>
                <w:sz w:val="22"/>
                <w:szCs w:val="22"/>
              </w:rPr>
              <w:t>Its</w:t>
            </w:r>
            <w:proofErr w:type="spellEnd"/>
            <w:proofErr w:type="gramEnd"/>
            <w:r w:rsidRPr="00C55ADB">
              <w:rPr>
                <w:rFonts w:ascii="Arial" w:hAnsi="Arial" w:cs="Arial"/>
                <w:sz w:val="22"/>
                <w:szCs w:val="22"/>
              </w:rPr>
              <w:t xml:space="preserve"> also good to see a 5 from 5 rating for Reo quality and that the television audience remains above 2 million (albeit falling), whilst the social media reach is growing rapidly.</w:t>
            </w:r>
          </w:p>
          <w:p w14:paraId="36729BE1" w14:textId="77777777" w:rsidR="00291BEF" w:rsidRPr="00C55ADB" w:rsidRDefault="00291BEF">
            <w:pPr>
              <w:suppressAutoHyphens w:val="0"/>
              <w:rPr>
                <w:rFonts w:ascii="Arial" w:hAnsi="Arial" w:cs="Arial"/>
                <w:sz w:val="22"/>
                <w:szCs w:val="22"/>
              </w:rPr>
            </w:pPr>
          </w:p>
          <w:p w14:paraId="65D2D290" w14:textId="77777777" w:rsidR="00291BEF" w:rsidRPr="00C55ADB" w:rsidRDefault="00291BEF">
            <w:pPr>
              <w:suppressAutoHyphens w:val="0"/>
              <w:rPr>
                <w:rFonts w:ascii="Arial" w:hAnsi="Arial" w:cs="Arial"/>
                <w:sz w:val="22"/>
                <w:szCs w:val="22"/>
              </w:rPr>
            </w:pPr>
            <w:r w:rsidRPr="00C55ADB">
              <w:rPr>
                <w:rFonts w:ascii="Arial" w:hAnsi="Arial" w:cs="Arial"/>
                <w:sz w:val="22"/>
                <w:szCs w:val="22"/>
              </w:rPr>
              <w:t xml:space="preserve">But as with past years there are still some unanswered questions: like whether viewers are watching Reo content, or mainly English content – and whether the Te Reo channel (now being only online) is a success or not.   </w:t>
            </w:r>
          </w:p>
          <w:p w14:paraId="63E4D79F" w14:textId="77777777" w:rsidR="00291BEF" w:rsidRPr="00C55ADB" w:rsidRDefault="00291BEF">
            <w:pPr>
              <w:suppressAutoHyphens w:val="0"/>
              <w:rPr>
                <w:rFonts w:ascii="Arial" w:hAnsi="Arial" w:cs="Arial"/>
                <w:sz w:val="22"/>
                <w:szCs w:val="22"/>
              </w:rPr>
            </w:pPr>
            <w:r w:rsidRPr="00C55ADB">
              <w:rPr>
                <w:rFonts w:ascii="Arial" w:hAnsi="Arial" w:cs="Arial"/>
                <w:sz w:val="22"/>
                <w:szCs w:val="22"/>
              </w:rPr>
              <w:t xml:space="preserve">What is very different from past years is that their financial reset has been undertaken.  Revenue is circa $51 million, but they brought expenditure down from past years and from the budget forecast to circa $39 million, creating a surplus of nearly $12 million.    In short, they have consolidated and strengthened their financial performance in the process of doing so.  </w:t>
            </w:r>
          </w:p>
          <w:p w14:paraId="5D30CB86" w14:textId="77777777" w:rsidR="00291BEF" w:rsidRPr="00C55ADB" w:rsidRDefault="00291BEF">
            <w:pPr>
              <w:suppressAutoHyphens w:val="0"/>
              <w:rPr>
                <w:rFonts w:ascii="Arial" w:hAnsi="Arial" w:cs="Arial"/>
                <w:sz w:val="22"/>
                <w:szCs w:val="22"/>
              </w:rPr>
            </w:pPr>
          </w:p>
          <w:p w14:paraId="33FCA893" w14:textId="77777777" w:rsidR="00291BEF" w:rsidRPr="00C55ADB" w:rsidRDefault="00291BEF">
            <w:pPr>
              <w:suppressAutoHyphens w:val="0"/>
              <w:rPr>
                <w:rFonts w:ascii="Arial" w:hAnsi="Arial" w:cs="Arial"/>
                <w:sz w:val="22"/>
                <w:szCs w:val="22"/>
              </w:rPr>
            </w:pPr>
            <w:r w:rsidRPr="00C55ADB">
              <w:rPr>
                <w:rFonts w:ascii="Arial" w:hAnsi="Arial" w:cs="Arial"/>
                <w:sz w:val="22"/>
                <w:szCs w:val="22"/>
              </w:rPr>
              <w:t xml:space="preserve">Last taking a broader perspective, we could not see any reference to (a) the </w:t>
            </w:r>
            <w:proofErr w:type="spellStart"/>
            <w:r w:rsidRPr="00C55ADB">
              <w:rPr>
                <w:rFonts w:ascii="Arial" w:hAnsi="Arial" w:cs="Arial"/>
                <w:sz w:val="22"/>
                <w:szCs w:val="22"/>
              </w:rPr>
              <w:t>Maihi</w:t>
            </w:r>
            <w:proofErr w:type="spellEnd"/>
            <w:r w:rsidRPr="00C55ADB">
              <w:rPr>
                <w:rFonts w:ascii="Arial" w:hAnsi="Arial" w:cs="Arial"/>
                <w:sz w:val="22"/>
                <w:szCs w:val="22"/>
              </w:rPr>
              <w:t xml:space="preserve"> </w:t>
            </w:r>
            <w:proofErr w:type="spellStart"/>
            <w:r w:rsidRPr="00C55ADB">
              <w:rPr>
                <w:rFonts w:ascii="Arial" w:hAnsi="Arial" w:cs="Arial"/>
                <w:sz w:val="22"/>
                <w:szCs w:val="22"/>
              </w:rPr>
              <w:t>Karauna</w:t>
            </w:r>
            <w:proofErr w:type="spellEnd"/>
            <w:r w:rsidRPr="00C55ADB">
              <w:rPr>
                <w:rFonts w:ascii="Arial" w:hAnsi="Arial" w:cs="Arial"/>
                <w:sz w:val="22"/>
                <w:szCs w:val="22"/>
              </w:rPr>
              <w:t xml:space="preserve"> or (b) other Māori Language Agencies in </w:t>
            </w:r>
            <w:proofErr w:type="spellStart"/>
            <w:r w:rsidRPr="00C55ADB">
              <w:rPr>
                <w:rFonts w:ascii="Arial" w:hAnsi="Arial" w:cs="Arial"/>
                <w:sz w:val="22"/>
                <w:szCs w:val="22"/>
              </w:rPr>
              <w:t>Whakaata</w:t>
            </w:r>
            <w:proofErr w:type="spellEnd"/>
            <w:r w:rsidRPr="00C55ADB">
              <w:rPr>
                <w:rFonts w:ascii="Arial" w:hAnsi="Arial" w:cs="Arial"/>
                <w:sz w:val="22"/>
                <w:szCs w:val="22"/>
              </w:rPr>
              <w:t xml:space="preserve"> Māori’s annual report. This presents </w:t>
            </w:r>
            <w:proofErr w:type="spellStart"/>
            <w:r w:rsidRPr="00C55ADB">
              <w:rPr>
                <w:rFonts w:ascii="Arial" w:hAnsi="Arial" w:cs="Arial"/>
                <w:sz w:val="22"/>
                <w:szCs w:val="22"/>
              </w:rPr>
              <w:t>Whakaata</w:t>
            </w:r>
            <w:proofErr w:type="spellEnd"/>
            <w:r w:rsidRPr="00C55ADB">
              <w:rPr>
                <w:rFonts w:ascii="Arial" w:hAnsi="Arial" w:cs="Arial"/>
                <w:sz w:val="22"/>
                <w:szCs w:val="22"/>
              </w:rPr>
              <w:t xml:space="preserve"> Māori as something of an island unto itself in terms of its work.</w:t>
            </w:r>
          </w:p>
          <w:p w14:paraId="7EDBE185" w14:textId="77777777" w:rsidR="00291BEF" w:rsidRPr="00C55ADB" w:rsidRDefault="00291BE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
              <w:tblDescription w:val=""/>
            </w:tblPr>
            <w:tblGrid>
              <w:gridCol w:w="3237"/>
              <w:gridCol w:w="1859"/>
            </w:tblGrid>
            <w:tr w:rsidR="00291BEF" w:rsidRPr="00C55ADB" w14:paraId="7119D4CB" w14:textId="77777777">
              <w:tc>
                <w:tcPr>
                  <w:tcW w:w="3237" w:type="dxa"/>
                  <w:tcMar>
                    <w:top w:w="80" w:type="dxa"/>
                    <w:left w:w="80" w:type="dxa"/>
                    <w:bottom w:w="80" w:type="dxa"/>
                    <w:right w:w="80" w:type="dxa"/>
                  </w:tcMar>
                  <w:hideMark/>
                </w:tcPr>
                <w:p w14:paraId="5467AE84" w14:textId="77777777" w:rsidR="00291BEF" w:rsidRPr="00C55ADB" w:rsidRDefault="00291BEF">
                  <w:pPr>
                    <w:rPr>
                      <w:rFonts w:ascii="Arial" w:hAnsi="Arial" w:cs="Arial"/>
                      <w:sz w:val="22"/>
                      <w:szCs w:val="22"/>
                    </w:rPr>
                  </w:pPr>
                  <w:r w:rsidRPr="00C55ADB">
                    <w:rPr>
                      <w:rFonts w:ascii="Arial" w:hAnsi="Arial" w:cs="Arial"/>
                      <w:sz w:val="22"/>
                      <w:szCs w:val="22"/>
                      <w:lang w:val="en-US"/>
                    </w:rPr>
                    <w:t> </w:t>
                  </w:r>
                  <w:r w:rsidRPr="00C55ADB">
                    <w:rPr>
                      <w:rFonts w:ascii="Arial" w:hAnsi="Arial" w:cs="Arial"/>
                      <w:b/>
                      <w:bCs/>
                      <w:sz w:val="22"/>
                      <w:szCs w:val="22"/>
                    </w:rPr>
                    <w:t>Financial Performance Headlines</w:t>
                  </w:r>
                </w:p>
              </w:tc>
              <w:tc>
                <w:tcPr>
                  <w:tcW w:w="1859" w:type="dxa"/>
                  <w:tcMar>
                    <w:top w:w="80" w:type="dxa"/>
                    <w:left w:w="80" w:type="dxa"/>
                    <w:bottom w:w="80" w:type="dxa"/>
                    <w:right w:w="80" w:type="dxa"/>
                  </w:tcMar>
                  <w:hideMark/>
                </w:tcPr>
                <w:p w14:paraId="289ED9E4" w14:textId="77777777" w:rsidR="00291BEF" w:rsidRPr="00C55ADB" w:rsidRDefault="00291BEF">
                  <w:pPr>
                    <w:rPr>
                      <w:rFonts w:ascii="Arial" w:hAnsi="Arial" w:cs="Arial"/>
                      <w:sz w:val="22"/>
                      <w:szCs w:val="22"/>
                    </w:rPr>
                  </w:pPr>
                  <w:r w:rsidRPr="00C55ADB">
                    <w:rPr>
                      <w:rFonts w:ascii="Arial" w:hAnsi="Arial" w:cs="Arial"/>
                      <w:b/>
                      <w:bCs/>
                      <w:sz w:val="22"/>
                      <w:szCs w:val="22"/>
                    </w:rPr>
                    <w:t>2025 results</w:t>
                  </w:r>
                </w:p>
              </w:tc>
            </w:tr>
            <w:tr w:rsidR="00291BEF" w:rsidRPr="00C55ADB" w14:paraId="534F96A1" w14:textId="77777777">
              <w:tc>
                <w:tcPr>
                  <w:tcW w:w="3237" w:type="dxa"/>
                  <w:tcMar>
                    <w:top w:w="80" w:type="dxa"/>
                    <w:left w:w="80" w:type="dxa"/>
                    <w:bottom w:w="80" w:type="dxa"/>
                    <w:right w:w="80" w:type="dxa"/>
                  </w:tcMar>
                  <w:hideMark/>
                </w:tcPr>
                <w:p w14:paraId="07056F34" w14:textId="77777777" w:rsidR="00291BEF" w:rsidRPr="00C55ADB" w:rsidRDefault="00291BEF">
                  <w:pPr>
                    <w:rPr>
                      <w:rFonts w:ascii="Arial" w:hAnsi="Arial" w:cs="Arial"/>
                      <w:sz w:val="22"/>
                      <w:szCs w:val="22"/>
                    </w:rPr>
                  </w:pPr>
                  <w:r w:rsidRPr="00C55ADB">
                    <w:rPr>
                      <w:rFonts w:ascii="Arial" w:hAnsi="Arial" w:cs="Arial"/>
                      <w:sz w:val="22"/>
                      <w:szCs w:val="22"/>
                    </w:rPr>
                    <w:t>Revenue</w:t>
                  </w:r>
                </w:p>
              </w:tc>
              <w:tc>
                <w:tcPr>
                  <w:tcW w:w="1859" w:type="dxa"/>
                  <w:tcMar>
                    <w:top w:w="80" w:type="dxa"/>
                    <w:left w:w="80" w:type="dxa"/>
                    <w:bottom w:w="80" w:type="dxa"/>
                    <w:right w:w="80" w:type="dxa"/>
                  </w:tcMar>
                  <w:hideMark/>
                </w:tcPr>
                <w:p w14:paraId="7687D050" w14:textId="77777777" w:rsidR="00291BEF" w:rsidRPr="00C55ADB" w:rsidRDefault="00291BEF">
                  <w:pPr>
                    <w:rPr>
                      <w:rFonts w:ascii="Arial" w:hAnsi="Arial" w:cs="Arial"/>
                      <w:sz w:val="22"/>
                      <w:szCs w:val="22"/>
                    </w:rPr>
                  </w:pPr>
                  <w:r w:rsidRPr="00C55ADB">
                    <w:rPr>
                      <w:rFonts w:ascii="Arial" w:hAnsi="Arial" w:cs="Arial"/>
                      <w:sz w:val="22"/>
                      <w:szCs w:val="22"/>
                    </w:rPr>
                    <w:t>$51.1 million</w:t>
                  </w:r>
                </w:p>
              </w:tc>
            </w:tr>
            <w:tr w:rsidR="00291BEF" w:rsidRPr="00C55ADB" w14:paraId="58674746" w14:textId="77777777">
              <w:tc>
                <w:tcPr>
                  <w:tcW w:w="3237" w:type="dxa"/>
                  <w:tcMar>
                    <w:top w:w="80" w:type="dxa"/>
                    <w:left w:w="80" w:type="dxa"/>
                    <w:bottom w:w="80" w:type="dxa"/>
                    <w:right w:w="80" w:type="dxa"/>
                  </w:tcMar>
                  <w:hideMark/>
                </w:tcPr>
                <w:p w14:paraId="2F528B36" w14:textId="77777777" w:rsidR="00291BEF" w:rsidRPr="00C55ADB" w:rsidRDefault="00291BEF">
                  <w:pPr>
                    <w:rPr>
                      <w:rFonts w:ascii="Arial" w:hAnsi="Arial" w:cs="Arial"/>
                      <w:sz w:val="22"/>
                      <w:szCs w:val="22"/>
                    </w:rPr>
                  </w:pPr>
                  <w:r w:rsidRPr="00C55ADB">
                    <w:rPr>
                      <w:rFonts w:ascii="Arial" w:hAnsi="Arial" w:cs="Arial"/>
                      <w:sz w:val="22"/>
                      <w:szCs w:val="22"/>
                    </w:rPr>
                    <w:t xml:space="preserve">Expenses </w:t>
                  </w:r>
                </w:p>
              </w:tc>
              <w:tc>
                <w:tcPr>
                  <w:tcW w:w="1859" w:type="dxa"/>
                  <w:tcMar>
                    <w:top w:w="80" w:type="dxa"/>
                    <w:left w:w="80" w:type="dxa"/>
                    <w:bottom w:w="80" w:type="dxa"/>
                    <w:right w:w="80" w:type="dxa"/>
                  </w:tcMar>
                  <w:hideMark/>
                </w:tcPr>
                <w:p w14:paraId="0CB35F9A" w14:textId="77777777" w:rsidR="00291BEF" w:rsidRPr="00C55ADB" w:rsidRDefault="00291BEF">
                  <w:pPr>
                    <w:rPr>
                      <w:rFonts w:ascii="Arial" w:hAnsi="Arial" w:cs="Arial"/>
                      <w:sz w:val="22"/>
                      <w:szCs w:val="22"/>
                    </w:rPr>
                  </w:pPr>
                  <w:r w:rsidRPr="00C55ADB">
                    <w:rPr>
                      <w:rFonts w:ascii="Arial" w:hAnsi="Arial" w:cs="Arial"/>
                      <w:sz w:val="22"/>
                      <w:szCs w:val="22"/>
                    </w:rPr>
                    <w:t>$39.3 million</w:t>
                  </w:r>
                </w:p>
              </w:tc>
            </w:tr>
            <w:tr w:rsidR="00291BEF" w:rsidRPr="00C55ADB" w14:paraId="1ED4E732" w14:textId="77777777">
              <w:tc>
                <w:tcPr>
                  <w:tcW w:w="3237" w:type="dxa"/>
                  <w:tcMar>
                    <w:top w:w="80" w:type="dxa"/>
                    <w:left w:w="80" w:type="dxa"/>
                    <w:bottom w:w="80" w:type="dxa"/>
                    <w:right w:w="80" w:type="dxa"/>
                  </w:tcMar>
                  <w:hideMark/>
                </w:tcPr>
                <w:p w14:paraId="0D262857" w14:textId="77777777" w:rsidR="00291BEF" w:rsidRPr="00C55ADB" w:rsidRDefault="00291BEF">
                  <w:pPr>
                    <w:rPr>
                      <w:rFonts w:ascii="Arial" w:hAnsi="Arial" w:cs="Arial"/>
                      <w:b/>
                      <w:bCs/>
                      <w:sz w:val="22"/>
                      <w:szCs w:val="22"/>
                    </w:rPr>
                  </w:pPr>
                  <w:r w:rsidRPr="00C55ADB">
                    <w:rPr>
                      <w:rFonts w:ascii="Arial" w:hAnsi="Arial" w:cs="Arial"/>
                      <w:b/>
                      <w:bCs/>
                      <w:sz w:val="22"/>
                      <w:szCs w:val="22"/>
                    </w:rPr>
                    <w:t>Surplus</w:t>
                  </w:r>
                </w:p>
              </w:tc>
              <w:tc>
                <w:tcPr>
                  <w:tcW w:w="1859" w:type="dxa"/>
                  <w:tcMar>
                    <w:top w:w="80" w:type="dxa"/>
                    <w:left w:w="80" w:type="dxa"/>
                    <w:bottom w:w="80" w:type="dxa"/>
                    <w:right w:w="80" w:type="dxa"/>
                  </w:tcMar>
                  <w:hideMark/>
                </w:tcPr>
                <w:p w14:paraId="0BE65844" w14:textId="77777777" w:rsidR="00291BEF" w:rsidRPr="00C55ADB" w:rsidRDefault="00291BEF">
                  <w:pPr>
                    <w:rPr>
                      <w:rFonts w:ascii="Arial" w:hAnsi="Arial" w:cs="Arial"/>
                      <w:sz w:val="22"/>
                      <w:szCs w:val="22"/>
                    </w:rPr>
                  </w:pPr>
                  <w:r w:rsidRPr="00C55ADB">
                    <w:rPr>
                      <w:rFonts w:ascii="Arial" w:hAnsi="Arial" w:cs="Arial"/>
                      <w:sz w:val="22"/>
                      <w:szCs w:val="22"/>
                    </w:rPr>
                    <w:t>$11.8 million</w:t>
                  </w:r>
                </w:p>
              </w:tc>
            </w:tr>
          </w:tbl>
          <w:p w14:paraId="68B62F5F" w14:textId="77777777" w:rsidR="00291BEF" w:rsidRPr="00C55ADB" w:rsidRDefault="00291BEF">
            <w:pPr>
              <w:rPr>
                <w:rFonts w:ascii="Arial" w:hAnsi="Arial" w:cs="Arial"/>
                <w:sz w:val="22"/>
                <w:szCs w:val="22"/>
              </w:rPr>
            </w:pPr>
            <w:r w:rsidRPr="00C55ADB">
              <w:rPr>
                <w:rFonts w:ascii="Arial" w:hAnsi="Arial" w:cs="Arial"/>
                <w:sz w:val="22"/>
                <w:szCs w:val="22"/>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
              <w:tblDescription w:val=""/>
            </w:tblPr>
            <w:tblGrid>
              <w:gridCol w:w="1757"/>
              <w:gridCol w:w="2083"/>
            </w:tblGrid>
            <w:tr w:rsidR="00291BEF" w:rsidRPr="00C55ADB" w14:paraId="2BCE3D7F" w14:textId="77777777">
              <w:tc>
                <w:tcPr>
                  <w:tcW w:w="1757" w:type="dxa"/>
                  <w:tcMar>
                    <w:top w:w="80" w:type="dxa"/>
                    <w:left w:w="80" w:type="dxa"/>
                    <w:bottom w:w="80" w:type="dxa"/>
                    <w:right w:w="80" w:type="dxa"/>
                  </w:tcMar>
                  <w:hideMark/>
                </w:tcPr>
                <w:p w14:paraId="304430EB" w14:textId="77777777" w:rsidR="00291BEF" w:rsidRPr="00C55ADB" w:rsidRDefault="00291BEF">
                  <w:pPr>
                    <w:rPr>
                      <w:rFonts w:ascii="Arial" w:hAnsi="Arial" w:cs="Arial"/>
                      <w:sz w:val="22"/>
                      <w:szCs w:val="22"/>
                    </w:rPr>
                  </w:pPr>
                  <w:r w:rsidRPr="00C55ADB">
                    <w:rPr>
                      <w:rFonts w:ascii="Arial" w:hAnsi="Arial" w:cs="Arial"/>
                      <w:b/>
                      <w:bCs/>
                      <w:sz w:val="22"/>
                      <w:szCs w:val="22"/>
                    </w:rPr>
                    <w:t>Financial Position Headlines</w:t>
                  </w:r>
                </w:p>
              </w:tc>
              <w:tc>
                <w:tcPr>
                  <w:tcW w:w="2083" w:type="dxa"/>
                  <w:tcMar>
                    <w:top w:w="80" w:type="dxa"/>
                    <w:left w:w="80" w:type="dxa"/>
                    <w:bottom w:w="80" w:type="dxa"/>
                    <w:right w:w="80" w:type="dxa"/>
                  </w:tcMar>
                  <w:hideMark/>
                </w:tcPr>
                <w:p w14:paraId="4315864E" w14:textId="77777777" w:rsidR="00291BEF" w:rsidRPr="00C55ADB" w:rsidRDefault="00291BEF">
                  <w:pPr>
                    <w:rPr>
                      <w:rFonts w:ascii="Arial" w:hAnsi="Arial" w:cs="Arial"/>
                      <w:sz w:val="22"/>
                      <w:szCs w:val="22"/>
                    </w:rPr>
                  </w:pPr>
                  <w:r w:rsidRPr="00C55ADB">
                    <w:rPr>
                      <w:rFonts w:ascii="Arial" w:hAnsi="Arial" w:cs="Arial"/>
                      <w:b/>
                      <w:bCs/>
                      <w:sz w:val="22"/>
                      <w:szCs w:val="22"/>
                    </w:rPr>
                    <w:t>2025 results</w:t>
                  </w:r>
                </w:p>
              </w:tc>
            </w:tr>
            <w:tr w:rsidR="00291BEF" w:rsidRPr="00C55ADB" w14:paraId="2058BAE1" w14:textId="77777777">
              <w:tc>
                <w:tcPr>
                  <w:tcW w:w="1757" w:type="dxa"/>
                  <w:tcMar>
                    <w:top w:w="80" w:type="dxa"/>
                    <w:left w:w="80" w:type="dxa"/>
                    <w:bottom w:w="80" w:type="dxa"/>
                    <w:right w:w="80" w:type="dxa"/>
                  </w:tcMar>
                  <w:hideMark/>
                </w:tcPr>
                <w:p w14:paraId="2219FED7" w14:textId="77777777" w:rsidR="00291BEF" w:rsidRPr="00C55ADB" w:rsidRDefault="00291BEF">
                  <w:pPr>
                    <w:rPr>
                      <w:rFonts w:ascii="Arial" w:hAnsi="Arial" w:cs="Arial"/>
                      <w:sz w:val="22"/>
                      <w:szCs w:val="22"/>
                    </w:rPr>
                  </w:pPr>
                  <w:r w:rsidRPr="00C55ADB">
                    <w:rPr>
                      <w:rFonts w:ascii="Arial" w:hAnsi="Arial" w:cs="Arial"/>
                      <w:sz w:val="22"/>
                      <w:szCs w:val="22"/>
                    </w:rPr>
                    <w:t>Total Assets</w:t>
                  </w:r>
                </w:p>
              </w:tc>
              <w:tc>
                <w:tcPr>
                  <w:tcW w:w="2083" w:type="dxa"/>
                  <w:tcMar>
                    <w:top w:w="80" w:type="dxa"/>
                    <w:left w:w="80" w:type="dxa"/>
                    <w:bottom w:w="80" w:type="dxa"/>
                    <w:right w:w="80" w:type="dxa"/>
                  </w:tcMar>
                  <w:hideMark/>
                </w:tcPr>
                <w:p w14:paraId="5A523F71" w14:textId="77777777" w:rsidR="00291BEF" w:rsidRPr="00C55ADB" w:rsidRDefault="00291BEF">
                  <w:pPr>
                    <w:rPr>
                      <w:rFonts w:ascii="Arial" w:hAnsi="Arial" w:cs="Arial"/>
                      <w:sz w:val="22"/>
                      <w:szCs w:val="22"/>
                    </w:rPr>
                  </w:pPr>
                  <w:r w:rsidRPr="00C55ADB">
                    <w:rPr>
                      <w:rFonts w:ascii="Arial" w:hAnsi="Arial" w:cs="Arial"/>
                      <w:sz w:val="22"/>
                      <w:szCs w:val="22"/>
                    </w:rPr>
                    <w:t>$36.5 million</w:t>
                  </w:r>
                </w:p>
              </w:tc>
            </w:tr>
            <w:tr w:rsidR="00291BEF" w:rsidRPr="00C55ADB" w14:paraId="2EBD5F9C" w14:textId="77777777">
              <w:tc>
                <w:tcPr>
                  <w:tcW w:w="1757" w:type="dxa"/>
                  <w:tcMar>
                    <w:top w:w="80" w:type="dxa"/>
                    <w:left w:w="80" w:type="dxa"/>
                    <w:bottom w:w="80" w:type="dxa"/>
                    <w:right w:w="80" w:type="dxa"/>
                  </w:tcMar>
                  <w:hideMark/>
                </w:tcPr>
                <w:p w14:paraId="070601A3" w14:textId="77777777" w:rsidR="00291BEF" w:rsidRPr="00C55ADB" w:rsidRDefault="00291BEF">
                  <w:pPr>
                    <w:rPr>
                      <w:rFonts w:ascii="Arial" w:hAnsi="Arial" w:cs="Arial"/>
                      <w:sz w:val="22"/>
                      <w:szCs w:val="22"/>
                    </w:rPr>
                  </w:pPr>
                  <w:r w:rsidRPr="00C55ADB">
                    <w:rPr>
                      <w:rFonts w:ascii="Arial" w:hAnsi="Arial" w:cs="Arial"/>
                      <w:sz w:val="22"/>
                      <w:szCs w:val="22"/>
                    </w:rPr>
                    <w:t>Total Liabilities</w:t>
                  </w:r>
                </w:p>
              </w:tc>
              <w:tc>
                <w:tcPr>
                  <w:tcW w:w="2083" w:type="dxa"/>
                  <w:tcMar>
                    <w:top w:w="80" w:type="dxa"/>
                    <w:left w:w="80" w:type="dxa"/>
                    <w:bottom w:w="80" w:type="dxa"/>
                    <w:right w:w="80" w:type="dxa"/>
                  </w:tcMar>
                  <w:hideMark/>
                </w:tcPr>
                <w:p w14:paraId="0C799107" w14:textId="77777777" w:rsidR="00291BEF" w:rsidRPr="00C55ADB" w:rsidRDefault="00291BEF">
                  <w:pPr>
                    <w:rPr>
                      <w:rFonts w:ascii="Arial" w:hAnsi="Arial" w:cs="Arial"/>
                      <w:sz w:val="22"/>
                      <w:szCs w:val="22"/>
                    </w:rPr>
                  </w:pPr>
                  <w:r w:rsidRPr="00C55ADB">
                    <w:rPr>
                      <w:rFonts w:ascii="Arial" w:hAnsi="Arial" w:cs="Arial"/>
                      <w:sz w:val="22"/>
                      <w:szCs w:val="22"/>
                    </w:rPr>
                    <w:t>$4.4 million</w:t>
                  </w:r>
                </w:p>
              </w:tc>
            </w:tr>
            <w:tr w:rsidR="00291BEF" w:rsidRPr="00C55ADB" w14:paraId="05CF3068" w14:textId="77777777">
              <w:tc>
                <w:tcPr>
                  <w:tcW w:w="1757" w:type="dxa"/>
                  <w:tcMar>
                    <w:top w:w="80" w:type="dxa"/>
                    <w:left w:w="80" w:type="dxa"/>
                    <w:bottom w:w="80" w:type="dxa"/>
                    <w:right w:w="80" w:type="dxa"/>
                  </w:tcMar>
                  <w:hideMark/>
                </w:tcPr>
                <w:p w14:paraId="3209A1A4" w14:textId="77777777" w:rsidR="00291BEF" w:rsidRPr="00C55ADB" w:rsidRDefault="00291BEF">
                  <w:pPr>
                    <w:rPr>
                      <w:rFonts w:ascii="Arial" w:hAnsi="Arial" w:cs="Arial"/>
                      <w:sz w:val="22"/>
                      <w:szCs w:val="22"/>
                      <w:lang w:val="mi-NZ"/>
                    </w:rPr>
                  </w:pPr>
                  <w:r w:rsidRPr="00C55ADB">
                    <w:rPr>
                      <w:rFonts w:ascii="Arial" w:hAnsi="Arial" w:cs="Arial"/>
                      <w:b/>
                      <w:bCs/>
                      <w:sz w:val="22"/>
                      <w:szCs w:val="22"/>
                    </w:rPr>
                    <w:t xml:space="preserve">Equity </w:t>
                  </w:r>
                </w:p>
              </w:tc>
              <w:tc>
                <w:tcPr>
                  <w:tcW w:w="2083" w:type="dxa"/>
                  <w:tcMar>
                    <w:top w:w="80" w:type="dxa"/>
                    <w:left w:w="80" w:type="dxa"/>
                    <w:bottom w:w="80" w:type="dxa"/>
                    <w:right w:w="80" w:type="dxa"/>
                  </w:tcMar>
                  <w:hideMark/>
                </w:tcPr>
                <w:p w14:paraId="368ACC5F" w14:textId="77777777" w:rsidR="00291BEF" w:rsidRPr="00C55ADB" w:rsidRDefault="00291BEF">
                  <w:pPr>
                    <w:rPr>
                      <w:rFonts w:ascii="Arial" w:hAnsi="Arial" w:cs="Arial"/>
                      <w:sz w:val="22"/>
                      <w:szCs w:val="22"/>
                    </w:rPr>
                  </w:pPr>
                  <w:r w:rsidRPr="00C55ADB">
                    <w:rPr>
                      <w:rFonts w:ascii="Arial" w:hAnsi="Arial" w:cs="Arial"/>
                      <w:sz w:val="22"/>
                      <w:szCs w:val="22"/>
                    </w:rPr>
                    <w:t>$30.0 million</w:t>
                  </w:r>
                </w:p>
              </w:tc>
            </w:tr>
          </w:tbl>
          <w:p w14:paraId="7880BBBA" w14:textId="77777777" w:rsidR="00291BEF" w:rsidRPr="00C55ADB" w:rsidRDefault="00291BEF">
            <w:pPr>
              <w:suppressAutoHyphens w:val="0"/>
              <w:spacing w:before="120" w:after="120"/>
              <w:rPr>
                <w:rFonts w:ascii="Arial" w:hAnsi="Arial" w:cs="Arial"/>
                <w:bCs/>
                <w:sz w:val="22"/>
                <w:szCs w:val="22"/>
              </w:rPr>
            </w:pPr>
          </w:p>
        </w:tc>
      </w:tr>
      <w:tr w:rsidR="00291BEF" w:rsidRPr="00C55ADB" w14:paraId="68314943" w14:textId="77777777" w:rsidTr="0067458B">
        <w:trPr>
          <w:trHeight w:val="454"/>
        </w:trPr>
        <w:tc>
          <w:tcPr>
            <w:tcW w:w="1819" w:type="dxa"/>
            <w:vMerge/>
          </w:tcPr>
          <w:p w14:paraId="34FD6229" w14:textId="77777777" w:rsidR="00291BEF" w:rsidRPr="00C55ADB" w:rsidRDefault="00291BEF">
            <w:pPr>
              <w:suppressAutoHyphens w:val="0"/>
              <w:rPr>
                <w:rFonts w:ascii="Arial" w:hAnsi="Arial" w:cs="Arial"/>
                <w:b/>
                <w:sz w:val="22"/>
                <w:szCs w:val="22"/>
              </w:rPr>
            </w:pPr>
          </w:p>
        </w:tc>
        <w:tc>
          <w:tcPr>
            <w:tcW w:w="1525" w:type="dxa"/>
          </w:tcPr>
          <w:p w14:paraId="77ABA086" w14:textId="77777777" w:rsidR="00291BEF" w:rsidRPr="00C55ADB" w:rsidRDefault="00291BEF">
            <w:pPr>
              <w:suppressAutoHyphens w:val="0"/>
              <w:spacing w:before="120" w:after="120"/>
              <w:rPr>
                <w:rFonts w:ascii="Arial" w:hAnsi="Arial" w:cs="Arial"/>
                <w:sz w:val="22"/>
                <w:szCs w:val="22"/>
              </w:rPr>
            </w:pPr>
            <w:r w:rsidRPr="00C55ADB">
              <w:rPr>
                <w:rFonts w:ascii="Arial" w:hAnsi="Arial" w:cs="Arial"/>
                <w:sz w:val="22"/>
                <w:szCs w:val="22"/>
              </w:rPr>
              <w:t>Quality rating:</w:t>
            </w:r>
          </w:p>
        </w:tc>
        <w:tc>
          <w:tcPr>
            <w:tcW w:w="6337" w:type="dxa"/>
          </w:tcPr>
          <w:p w14:paraId="0E3A2886" w14:textId="77777777" w:rsidR="00291BEF" w:rsidRPr="00C55ADB" w:rsidRDefault="00291BEF">
            <w:pPr>
              <w:suppressAutoHyphens w:val="0"/>
              <w:spacing w:before="120" w:after="120"/>
              <w:rPr>
                <w:rFonts w:ascii="Arial" w:hAnsi="Arial" w:cs="Arial"/>
                <w:bCs/>
                <w:sz w:val="22"/>
                <w:szCs w:val="22"/>
              </w:rPr>
            </w:pPr>
            <w:r w:rsidRPr="00171E25">
              <w:rPr>
                <w:rFonts w:ascii="Arial" w:hAnsi="Arial" w:cs="Arial"/>
                <w:sz w:val="22"/>
                <w:szCs w:val="18"/>
              </w:rPr>
              <w:t>Good</w:t>
            </w:r>
          </w:p>
        </w:tc>
      </w:tr>
      <w:tr w:rsidR="00291BEF" w:rsidRPr="00C55ADB" w14:paraId="28508A26" w14:textId="77777777" w:rsidTr="0067458B">
        <w:trPr>
          <w:trHeight w:val="454"/>
        </w:trPr>
        <w:tc>
          <w:tcPr>
            <w:tcW w:w="1819" w:type="dxa"/>
            <w:vMerge/>
          </w:tcPr>
          <w:p w14:paraId="45D46C1A" w14:textId="77777777" w:rsidR="00291BEF" w:rsidRPr="00C55ADB" w:rsidRDefault="00291BEF">
            <w:pPr>
              <w:suppressAutoHyphens w:val="0"/>
              <w:rPr>
                <w:rFonts w:ascii="Arial" w:hAnsi="Arial" w:cs="Arial"/>
                <w:b/>
                <w:sz w:val="22"/>
                <w:szCs w:val="22"/>
              </w:rPr>
            </w:pPr>
          </w:p>
        </w:tc>
        <w:tc>
          <w:tcPr>
            <w:tcW w:w="1525" w:type="dxa"/>
          </w:tcPr>
          <w:p w14:paraId="0143F658" w14:textId="77777777" w:rsidR="00291BEF" w:rsidRPr="00C55ADB" w:rsidRDefault="00291BEF">
            <w:pPr>
              <w:suppressAutoHyphens w:val="0"/>
              <w:spacing w:before="120" w:after="120"/>
              <w:rPr>
                <w:rFonts w:ascii="Arial" w:hAnsi="Arial" w:cs="Arial"/>
                <w:sz w:val="22"/>
                <w:szCs w:val="22"/>
              </w:rPr>
            </w:pPr>
            <w:r w:rsidRPr="00C55ADB">
              <w:rPr>
                <w:rFonts w:ascii="Arial" w:hAnsi="Arial" w:cs="Arial"/>
                <w:sz w:val="22"/>
                <w:szCs w:val="22"/>
              </w:rPr>
              <w:t>Assessment rationale summary:</w:t>
            </w:r>
          </w:p>
        </w:tc>
        <w:tc>
          <w:tcPr>
            <w:tcW w:w="6337" w:type="dxa"/>
          </w:tcPr>
          <w:p w14:paraId="274E39BB" w14:textId="77777777" w:rsidR="00291BEF" w:rsidRPr="00C55ADB" w:rsidRDefault="00291BEF">
            <w:pPr>
              <w:suppressAutoHyphens w:val="0"/>
              <w:spacing w:before="120" w:after="120"/>
              <w:rPr>
                <w:rFonts w:ascii="Arial" w:hAnsi="Arial" w:cs="Arial"/>
                <w:bCs/>
                <w:sz w:val="22"/>
                <w:szCs w:val="22"/>
              </w:rPr>
            </w:pPr>
            <w:r w:rsidRPr="00C55ADB">
              <w:rPr>
                <w:rFonts w:ascii="Arial" w:hAnsi="Arial" w:cs="Arial"/>
                <w:bCs/>
                <w:sz w:val="22"/>
                <w:szCs w:val="22"/>
              </w:rPr>
              <w:t xml:space="preserve">We rated this report as good as in general terms </w:t>
            </w:r>
            <w:proofErr w:type="spellStart"/>
            <w:r w:rsidRPr="00C55ADB">
              <w:rPr>
                <w:rFonts w:ascii="Arial" w:hAnsi="Arial" w:cs="Arial"/>
                <w:bCs/>
                <w:sz w:val="22"/>
                <w:szCs w:val="22"/>
              </w:rPr>
              <w:t>Whakaata</w:t>
            </w:r>
            <w:proofErr w:type="spellEnd"/>
            <w:r w:rsidRPr="00C55ADB">
              <w:rPr>
                <w:rFonts w:ascii="Arial" w:hAnsi="Arial" w:cs="Arial"/>
                <w:bCs/>
                <w:sz w:val="22"/>
                <w:szCs w:val="22"/>
              </w:rPr>
              <w:t xml:space="preserve"> Māori presents as getting on with doing what it was set up to do.  Importantly, audience numbers continue to be strong– i.e. Māori have not grown tired of the service, and uptake (especially online) reads as positive.  We did, however, find it difficult to understand whether people are mainly watching in English, and whether the Te Reo channel, mainly Te Reo programmes are also doing well.</w:t>
            </w:r>
          </w:p>
          <w:p w14:paraId="7F097167" w14:textId="77777777" w:rsidR="00291BEF" w:rsidRPr="00C55ADB" w:rsidRDefault="00291BEF">
            <w:pPr>
              <w:suppressAutoHyphens w:val="0"/>
              <w:spacing w:before="120" w:after="120"/>
              <w:rPr>
                <w:rFonts w:ascii="Arial" w:hAnsi="Arial" w:cs="Arial"/>
                <w:bCs/>
                <w:sz w:val="22"/>
                <w:szCs w:val="22"/>
              </w:rPr>
            </w:pPr>
            <w:r w:rsidRPr="00C55ADB">
              <w:rPr>
                <w:rFonts w:ascii="Arial" w:hAnsi="Arial" w:cs="Arial"/>
                <w:bCs/>
                <w:sz w:val="22"/>
                <w:szCs w:val="22"/>
              </w:rPr>
              <w:t xml:space="preserve">From a financial perspective the service indicates challenges </w:t>
            </w:r>
            <w:proofErr w:type="gramStart"/>
            <w:r w:rsidRPr="00C55ADB">
              <w:rPr>
                <w:rFonts w:ascii="Arial" w:hAnsi="Arial" w:cs="Arial"/>
                <w:bCs/>
                <w:sz w:val="22"/>
                <w:szCs w:val="22"/>
              </w:rPr>
              <w:t>ahead, but</w:t>
            </w:r>
            <w:proofErr w:type="gramEnd"/>
            <w:r w:rsidRPr="00C55ADB">
              <w:rPr>
                <w:rFonts w:ascii="Arial" w:hAnsi="Arial" w:cs="Arial"/>
                <w:bCs/>
                <w:sz w:val="22"/>
                <w:szCs w:val="22"/>
              </w:rPr>
              <w:t xml:space="preserve"> offers no strategic comment on what </w:t>
            </w:r>
            <w:proofErr w:type="gramStart"/>
            <w:r w:rsidRPr="00C55ADB">
              <w:rPr>
                <w:rFonts w:ascii="Arial" w:hAnsi="Arial" w:cs="Arial"/>
                <w:bCs/>
                <w:sz w:val="22"/>
                <w:szCs w:val="22"/>
              </w:rPr>
              <w:t>is the plan for its reserves of</w:t>
            </w:r>
            <w:proofErr w:type="gramEnd"/>
            <w:r w:rsidRPr="00C55ADB">
              <w:rPr>
                <w:rFonts w:ascii="Arial" w:hAnsi="Arial" w:cs="Arial"/>
                <w:bCs/>
                <w:sz w:val="22"/>
                <w:szCs w:val="22"/>
              </w:rPr>
              <w:t xml:space="preserve"> circa $30 million.  We also wonder whether there is a plan to increase commercial advertising </w:t>
            </w:r>
            <w:proofErr w:type="gramStart"/>
            <w:r w:rsidRPr="00C55ADB">
              <w:rPr>
                <w:rFonts w:ascii="Arial" w:hAnsi="Arial" w:cs="Arial"/>
                <w:bCs/>
                <w:sz w:val="22"/>
                <w:szCs w:val="22"/>
              </w:rPr>
              <w:t>sales revenue, or</w:t>
            </w:r>
            <w:proofErr w:type="gramEnd"/>
            <w:r w:rsidRPr="00C55ADB">
              <w:rPr>
                <w:rFonts w:ascii="Arial" w:hAnsi="Arial" w:cs="Arial"/>
                <w:bCs/>
                <w:sz w:val="22"/>
                <w:szCs w:val="22"/>
              </w:rPr>
              <w:t xml:space="preserve"> at least arrest the decline (down from circa $1 million in 2023 to $800,000 last year and now sitting at circa $400,000.)  </w:t>
            </w:r>
          </w:p>
        </w:tc>
      </w:tr>
    </w:tbl>
    <w:p w14:paraId="12C00E68" w14:textId="77777777" w:rsidR="000C6175" w:rsidRDefault="000C6175" w:rsidP="00512709">
      <w:pPr>
        <w:pStyle w:val="BodyText"/>
        <w:suppressAutoHyphens w:val="0"/>
        <w:rPr>
          <w:rFonts w:cs="Arial"/>
          <w:b/>
          <w:szCs w:val="24"/>
        </w:rPr>
      </w:pPr>
    </w:p>
    <w:p w14:paraId="4435B8D9" w14:textId="5C0125D0" w:rsidR="00512709" w:rsidRDefault="006B5DB4" w:rsidP="00512709">
      <w:pPr>
        <w:pStyle w:val="BodyText"/>
        <w:suppressAutoHyphens w:val="0"/>
        <w:rPr>
          <w:rFonts w:cs="Arial"/>
          <w:b/>
          <w:szCs w:val="24"/>
        </w:rPr>
      </w:pPr>
      <w:bookmarkStart w:id="10" w:name="aa2"/>
      <w:r w:rsidRPr="00020AB0">
        <w:rPr>
          <w:rFonts w:cs="Arial"/>
          <w:b/>
          <w:szCs w:val="24"/>
        </w:rPr>
        <w:t xml:space="preserve">Appendix 2 - Economic </w:t>
      </w:r>
      <w:r w:rsidR="00B06A8A">
        <w:rPr>
          <w:rFonts w:cs="Arial"/>
          <w:b/>
          <w:szCs w:val="24"/>
        </w:rPr>
        <w:t xml:space="preserve">and </w:t>
      </w:r>
      <w:r w:rsidR="005948A2">
        <w:rPr>
          <w:rFonts w:cs="Arial"/>
          <w:b/>
          <w:szCs w:val="24"/>
        </w:rPr>
        <w:t>Environmental</w:t>
      </w:r>
      <w:r w:rsidR="00B06A8A">
        <w:rPr>
          <w:rFonts w:cs="Arial"/>
          <w:b/>
          <w:szCs w:val="24"/>
        </w:rPr>
        <w:t xml:space="preserve"> </w:t>
      </w:r>
      <w:r w:rsidRPr="00020AB0">
        <w:rPr>
          <w:rFonts w:cs="Arial"/>
          <w:b/>
          <w:szCs w:val="24"/>
        </w:rPr>
        <w:t>Policy Items</w:t>
      </w:r>
      <w:bookmarkStart w:id="11" w:name="ToW22"/>
      <w:bookmarkStart w:id="12" w:name="a3"/>
      <w:bookmarkStart w:id="13" w:name="apTREATY"/>
      <w:bookmarkEnd w:id="5"/>
      <w:bookmarkEnd w:id="6"/>
    </w:p>
    <w:tbl>
      <w:tblPr>
        <w:tblStyle w:val="TableGrid"/>
        <w:tblW w:w="0" w:type="auto"/>
        <w:tblInd w:w="-856" w:type="dxa"/>
        <w:tblLook w:val="04A0" w:firstRow="1" w:lastRow="0" w:firstColumn="1" w:lastColumn="0" w:noHBand="0" w:noVBand="1"/>
      </w:tblPr>
      <w:tblGrid>
        <w:gridCol w:w="1819"/>
        <w:gridCol w:w="1525"/>
        <w:gridCol w:w="6337"/>
      </w:tblGrid>
      <w:tr w:rsidR="000C6175" w:rsidRPr="00C13141" w14:paraId="271814BA" w14:textId="77777777" w:rsidTr="003714D2">
        <w:trPr>
          <w:trHeight w:val="2574"/>
        </w:trPr>
        <w:tc>
          <w:tcPr>
            <w:tcW w:w="1819" w:type="dxa"/>
          </w:tcPr>
          <w:bookmarkEnd w:id="10"/>
          <w:p w14:paraId="6CF55464" w14:textId="605B3856" w:rsidR="000C6175" w:rsidRPr="002C602F" w:rsidRDefault="00BD7B1D">
            <w:pPr>
              <w:suppressAutoHyphens w:val="0"/>
              <w:spacing w:before="120"/>
              <w:rPr>
                <w:rFonts w:ascii="Arial" w:hAnsi="Arial" w:cs="Arial"/>
                <w:b/>
                <w:sz w:val="22"/>
                <w:szCs w:val="22"/>
              </w:rPr>
            </w:pPr>
            <w:r>
              <w:rPr>
                <w:rFonts w:ascii="Arial" w:hAnsi="Arial" w:cs="Arial"/>
                <w:b/>
                <w:sz w:val="22"/>
                <w:szCs w:val="22"/>
              </w:rPr>
              <w:t xml:space="preserve">Environment </w:t>
            </w:r>
          </w:p>
          <w:p w14:paraId="1AB36B67" w14:textId="77777777" w:rsidR="000C6175" w:rsidRPr="002C602F" w:rsidRDefault="000C6175">
            <w:pPr>
              <w:suppressAutoHyphens w:val="0"/>
              <w:rPr>
                <w:rFonts w:ascii="Arial" w:hAnsi="Arial" w:cs="Arial"/>
                <w:b/>
                <w:sz w:val="22"/>
                <w:szCs w:val="22"/>
              </w:rPr>
            </w:pPr>
          </w:p>
          <w:p w14:paraId="702C179F" w14:textId="77777777" w:rsidR="000C6175" w:rsidRPr="00E64C93" w:rsidRDefault="000C6175">
            <w:pPr>
              <w:rPr>
                <w:rFonts w:ascii="Arial" w:hAnsi="Arial" w:cs="Arial"/>
                <w:b/>
              </w:rPr>
            </w:pPr>
            <w:r w:rsidRPr="002C602F">
              <w:rPr>
                <w:rFonts w:ascii="Arial" w:hAnsi="Arial" w:cs="Arial"/>
                <w:b/>
                <w:sz w:val="22"/>
                <w:szCs w:val="22"/>
              </w:rPr>
              <w:t xml:space="preserve">Pānui </w:t>
            </w:r>
            <w:r>
              <w:rPr>
                <w:rFonts w:ascii="Arial" w:hAnsi="Arial" w:cs="Arial"/>
                <w:b/>
                <w:sz w:val="22"/>
                <w:szCs w:val="22"/>
              </w:rPr>
              <w:t>04</w:t>
            </w:r>
            <w:r w:rsidRPr="002C602F">
              <w:rPr>
                <w:rFonts w:ascii="Arial" w:hAnsi="Arial" w:cs="Arial"/>
                <w:b/>
                <w:sz w:val="22"/>
                <w:szCs w:val="22"/>
              </w:rPr>
              <w:t>/20</w:t>
            </w:r>
            <w:r>
              <w:rPr>
                <w:rFonts w:ascii="Arial" w:hAnsi="Arial" w:cs="Arial"/>
                <w:b/>
                <w:sz w:val="22"/>
                <w:szCs w:val="22"/>
              </w:rPr>
              <w:t>26</w:t>
            </w:r>
          </w:p>
        </w:tc>
        <w:tc>
          <w:tcPr>
            <w:tcW w:w="1525" w:type="dxa"/>
          </w:tcPr>
          <w:p w14:paraId="66931A5B" w14:textId="77777777" w:rsidR="000C6175" w:rsidRPr="00842CD7" w:rsidRDefault="000C6175">
            <w:pPr>
              <w:suppressAutoHyphens w:val="0"/>
              <w:spacing w:before="120" w:after="120"/>
              <w:rPr>
                <w:rFonts w:ascii="Arial" w:hAnsi="Arial" w:cs="Arial"/>
                <w:b/>
                <w:i/>
                <w:sz w:val="20"/>
                <w:lang w:val="en-US"/>
              </w:rPr>
            </w:pPr>
            <w:r w:rsidRPr="00842CD7">
              <w:rPr>
                <w:rFonts w:ascii="Arial" w:hAnsi="Arial" w:cs="Arial"/>
                <w:b/>
                <w:i/>
                <w:sz w:val="20"/>
                <w:lang w:val="en-US"/>
              </w:rPr>
              <w:t>Resource Management Reforms</w:t>
            </w:r>
          </w:p>
          <w:p w14:paraId="34670EF8" w14:textId="77777777" w:rsidR="000C6175" w:rsidRPr="00E64C93" w:rsidRDefault="000C6175">
            <w:pPr>
              <w:suppressAutoHyphens w:val="0"/>
              <w:spacing w:before="120" w:after="120"/>
              <w:rPr>
                <w:rFonts w:ascii="Arial" w:hAnsi="Arial" w:cs="Arial"/>
                <w:i/>
              </w:rPr>
            </w:pPr>
          </w:p>
        </w:tc>
        <w:tc>
          <w:tcPr>
            <w:tcW w:w="6337" w:type="dxa"/>
          </w:tcPr>
          <w:p w14:paraId="70B607DF" w14:textId="77777777" w:rsidR="000C6175" w:rsidRPr="00842CD7" w:rsidRDefault="000C6175">
            <w:pPr>
              <w:pStyle w:val="BodyText"/>
              <w:rPr>
                <w:rFonts w:cs="Arial"/>
                <w:sz w:val="22"/>
                <w:szCs w:val="22"/>
              </w:rPr>
            </w:pPr>
            <w:r w:rsidRPr="00842CD7">
              <w:rPr>
                <w:rFonts w:cs="Arial"/>
                <w:sz w:val="22"/>
                <w:szCs w:val="22"/>
              </w:rPr>
              <w:t>At the end of the 2025 Parliamentary year, the proposed replacement legislation for the Resource Management Act was introduced and advanced through its first reading before being referred on to the Environment Select Committee.  The two bills are the Planning Bill and the Natural Environment Bill.  The general policy statement says:</w:t>
            </w:r>
          </w:p>
          <w:p w14:paraId="1258F6AB" w14:textId="77777777" w:rsidR="000C6175" w:rsidRPr="00842CD7" w:rsidRDefault="000C6175">
            <w:pPr>
              <w:pStyle w:val="BodyText"/>
              <w:rPr>
                <w:rFonts w:cs="Arial"/>
                <w:i/>
                <w:iCs/>
                <w:sz w:val="22"/>
                <w:szCs w:val="22"/>
              </w:rPr>
            </w:pPr>
            <w:r w:rsidRPr="00842CD7">
              <w:rPr>
                <w:rFonts w:cs="Arial"/>
                <w:i/>
                <w:iCs/>
                <w:sz w:val="22"/>
                <w:szCs w:val="22"/>
              </w:rPr>
              <w:t>“The Planning Bill establishes a framework for planning and regulating the use, development, and enjoyment of land. The Natural Environment Bill establishes a framework for the use, protection, and enhancement of the natural environment.”</w:t>
            </w:r>
          </w:p>
          <w:p w14:paraId="79FBACF3" w14:textId="77777777" w:rsidR="000C6175" w:rsidRPr="00842CD7" w:rsidRDefault="000C6175">
            <w:pPr>
              <w:pStyle w:val="BodyText"/>
              <w:rPr>
                <w:rFonts w:cs="Arial"/>
                <w:sz w:val="22"/>
                <w:szCs w:val="22"/>
              </w:rPr>
            </w:pPr>
            <w:r w:rsidRPr="00842CD7">
              <w:rPr>
                <w:rFonts w:cs="Arial"/>
                <w:sz w:val="22"/>
                <w:szCs w:val="22"/>
              </w:rPr>
              <w:t xml:space="preserve">From a Māori policy perspective, the debate is whether these reforms sufficiently cater for Māori interests.  This is because the Treaty of Waitangi clause in the current Resource Management Act is being removed.  Presently the law reads:  </w:t>
            </w:r>
          </w:p>
          <w:p w14:paraId="4726D446" w14:textId="77777777" w:rsidR="000C6175" w:rsidRPr="00842CD7" w:rsidRDefault="000C6175">
            <w:pPr>
              <w:pStyle w:val="BodyText"/>
              <w:rPr>
                <w:rFonts w:cs="Arial"/>
                <w:bCs/>
                <w:i/>
                <w:iCs/>
                <w:sz w:val="22"/>
                <w:szCs w:val="22"/>
              </w:rPr>
            </w:pPr>
            <w:r w:rsidRPr="00842CD7">
              <w:rPr>
                <w:rFonts w:cs="Arial"/>
                <w:bCs/>
                <w:i/>
                <w:iCs/>
                <w:sz w:val="22"/>
                <w:szCs w:val="22"/>
              </w:rPr>
              <w:t>In achieving the purpose of this Act, all persons exercising functions and powers under it, in relation to managing the use, development, and protection of natural and physical resources, shall take into account the principles of the </w:t>
            </w:r>
            <w:bookmarkStart w:id="14" w:name="DLM435834"/>
            <w:r w:rsidRPr="00842CD7">
              <w:rPr>
                <w:rFonts w:cs="Arial"/>
                <w:bCs/>
                <w:i/>
                <w:iCs/>
                <w:sz w:val="22"/>
                <w:szCs w:val="22"/>
              </w:rPr>
              <w:fldChar w:fldCharType="begin"/>
            </w:r>
            <w:r w:rsidRPr="00842CD7">
              <w:rPr>
                <w:rFonts w:cs="Arial"/>
                <w:bCs/>
                <w:i/>
                <w:iCs/>
                <w:sz w:val="22"/>
                <w:szCs w:val="22"/>
              </w:rPr>
              <w:instrText>HYPERLINK "https://www.legislation.govt.nz/act/public/1991/0069/latest/link.aspx?id=DLM435834" \l "DLM435834"</w:instrText>
            </w:r>
            <w:r w:rsidRPr="00842CD7">
              <w:rPr>
                <w:rFonts w:cs="Arial"/>
                <w:bCs/>
                <w:i/>
                <w:iCs/>
                <w:sz w:val="22"/>
                <w:szCs w:val="22"/>
              </w:rPr>
            </w:r>
            <w:r w:rsidRPr="00842CD7">
              <w:rPr>
                <w:rFonts w:cs="Arial"/>
                <w:bCs/>
                <w:i/>
                <w:iCs/>
                <w:sz w:val="22"/>
                <w:szCs w:val="22"/>
              </w:rPr>
              <w:fldChar w:fldCharType="separate"/>
            </w:r>
            <w:r w:rsidRPr="00842CD7">
              <w:rPr>
                <w:rStyle w:val="Hyperlink"/>
                <w:rFonts w:cs="Arial"/>
                <w:bCs/>
                <w:i/>
                <w:iCs/>
                <w:sz w:val="22"/>
                <w:szCs w:val="22"/>
              </w:rPr>
              <w:t>Treaty of Waitangi</w:t>
            </w:r>
            <w:r w:rsidRPr="00842CD7">
              <w:rPr>
                <w:rFonts w:cs="Arial"/>
                <w:sz w:val="22"/>
                <w:szCs w:val="22"/>
              </w:rPr>
              <w:fldChar w:fldCharType="end"/>
            </w:r>
            <w:bookmarkEnd w:id="14"/>
            <w:r w:rsidRPr="00842CD7">
              <w:rPr>
                <w:rFonts w:cs="Arial"/>
                <w:bCs/>
                <w:i/>
                <w:iCs/>
                <w:sz w:val="22"/>
                <w:szCs w:val="22"/>
              </w:rPr>
              <w:t> (Te Tiriti o Waitangi).  (Refer Section 8 of the Resource Management Act.)</w:t>
            </w:r>
          </w:p>
          <w:p w14:paraId="37AA4DC8" w14:textId="77777777" w:rsidR="000C6175" w:rsidRPr="00842CD7" w:rsidRDefault="000C6175">
            <w:pPr>
              <w:pStyle w:val="BodyText"/>
              <w:rPr>
                <w:rFonts w:cs="Arial"/>
                <w:sz w:val="22"/>
                <w:szCs w:val="22"/>
              </w:rPr>
            </w:pPr>
            <w:r w:rsidRPr="00842CD7">
              <w:rPr>
                <w:rFonts w:cs="Arial"/>
                <w:sz w:val="22"/>
                <w:szCs w:val="22"/>
              </w:rPr>
              <w:t xml:space="preserve">If passed into law the above generic Treaty clause will be replaced by more specific clauses on engaging with tāngata whenua.  Those in favour (the Government) say the positive is that the proposal brings more clarity and certainty in resource management – including what is meant by upholding Treaty matters.  </w:t>
            </w:r>
          </w:p>
          <w:p w14:paraId="1B76CF05" w14:textId="77777777" w:rsidR="000C6175" w:rsidRPr="00842CD7" w:rsidRDefault="000C6175">
            <w:pPr>
              <w:pStyle w:val="BodyText"/>
              <w:rPr>
                <w:rFonts w:cs="Arial"/>
                <w:sz w:val="22"/>
                <w:szCs w:val="22"/>
              </w:rPr>
            </w:pPr>
            <w:r w:rsidRPr="00842CD7">
              <w:rPr>
                <w:rFonts w:cs="Arial"/>
                <w:sz w:val="22"/>
                <w:szCs w:val="22"/>
              </w:rPr>
              <w:t xml:space="preserve">Political opponents, however, have raised concern at the first reading that both bills seemingly reduce Māori input and engagement, </w:t>
            </w:r>
            <w:proofErr w:type="gramStart"/>
            <w:r w:rsidRPr="00842CD7">
              <w:rPr>
                <w:rFonts w:cs="Arial"/>
                <w:sz w:val="22"/>
                <w:szCs w:val="22"/>
              </w:rPr>
              <w:t>and also</w:t>
            </w:r>
            <w:proofErr w:type="gramEnd"/>
            <w:r w:rsidRPr="00842CD7">
              <w:rPr>
                <w:rFonts w:cs="Arial"/>
                <w:sz w:val="22"/>
                <w:szCs w:val="22"/>
              </w:rPr>
              <w:t xml:space="preserve"> reduce the consideration of Māori matters.  For example, the Planning Bill narrows Māori input to specific areas, and with that uses concepts like </w:t>
            </w:r>
            <w:r w:rsidRPr="00842CD7">
              <w:rPr>
                <w:rFonts w:cs="Arial"/>
                <w:i/>
                <w:iCs/>
                <w:sz w:val="22"/>
                <w:szCs w:val="22"/>
              </w:rPr>
              <w:t>‘consult with Māori’</w:t>
            </w:r>
            <w:r w:rsidRPr="00842CD7">
              <w:rPr>
                <w:rFonts w:cs="Arial"/>
                <w:sz w:val="22"/>
                <w:szCs w:val="22"/>
              </w:rPr>
              <w:t>, and ‘</w:t>
            </w:r>
            <w:r w:rsidRPr="00842CD7">
              <w:rPr>
                <w:rFonts w:cs="Arial"/>
                <w:i/>
                <w:iCs/>
                <w:sz w:val="22"/>
                <w:szCs w:val="22"/>
              </w:rPr>
              <w:t>have regard to any advice from tangata whenua’</w:t>
            </w:r>
            <w:r w:rsidRPr="00842CD7">
              <w:rPr>
                <w:rFonts w:cs="Arial"/>
                <w:sz w:val="22"/>
                <w:szCs w:val="22"/>
              </w:rPr>
              <w:t xml:space="preserve"> – as opposed to taking the Tiriti into broad account.  Given consulting and considering are normal processes anyway, a question arises do these clauses add in anything at all, and why is there no obligation to act on Māori advice, nor mediation process should parties not agree?  Surely referring matters of potential breach back up to the Waitangi Tribunal is not the answer?    </w:t>
            </w:r>
          </w:p>
          <w:p w14:paraId="37F0B2BB" w14:textId="77777777" w:rsidR="000C6175" w:rsidRPr="00842CD7" w:rsidRDefault="000C6175">
            <w:pPr>
              <w:pStyle w:val="BodyText"/>
              <w:rPr>
                <w:rFonts w:cs="Arial"/>
                <w:sz w:val="22"/>
                <w:szCs w:val="22"/>
              </w:rPr>
            </w:pPr>
            <w:r w:rsidRPr="00842CD7">
              <w:rPr>
                <w:rFonts w:cs="Arial"/>
                <w:sz w:val="22"/>
                <w:szCs w:val="22"/>
              </w:rPr>
              <w:t>A similar approach is used in the Natural Environment Bill, although wording to seek to uphold existing Treaty settlement commitments is also included in that bill.  Those in favour say the positive is that the proposal brings more clarity around what is meant by upholding Treaty matters.  Others might see a potential risk in the text narrowing the Crown engagement with post-settlement governance entities, i.e. ‘unsettled’ iwi (Ngāpuhi) and other Māori collective groups (Māori landowners) do not appear to be carried forward with the new bill.</w:t>
            </w:r>
            <w:r w:rsidRPr="00842CD7">
              <w:rPr>
                <w:rFonts w:cs="Arial"/>
                <w:sz w:val="22"/>
                <w:szCs w:val="22"/>
                <w:vertAlign w:val="superscript"/>
              </w:rPr>
              <w:footnoteReference w:id="8"/>
            </w:r>
          </w:p>
          <w:p w14:paraId="772A269C" w14:textId="77777777" w:rsidR="000C6175" w:rsidRPr="00842CD7" w:rsidRDefault="000C6175">
            <w:pPr>
              <w:pStyle w:val="BodyText"/>
              <w:rPr>
                <w:rFonts w:cs="Arial"/>
                <w:sz w:val="22"/>
                <w:szCs w:val="22"/>
              </w:rPr>
            </w:pPr>
            <w:hyperlink r:id="rId11" w:history="1">
              <w:r w:rsidRPr="00842CD7">
                <w:rPr>
                  <w:rStyle w:val="Hyperlink"/>
                  <w:rFonts w:cs="Arial"/>
                  <w:sz w:val="22"/>
                  <w:szCs w:val="22"/>
                </w:rPr>
                <w:t>Planning Bill and Natural Environment Bill - New Zealand Parliament</w:t>
              </w:r>
            </w:hyperlink>
          </w:p>
        </w:tc>
      </w:tr>
    </w:tbl>
    <w:p w14:paraId="10258785" w14:textId="77777777" w:rsidR="00512709" w:rsidRDefault="00512709" w:rsidP="00512709">
      <w:pPr>
        <w:pStyle w:val="BodyText"/>
        <w:suppressAutoHyphens w:val="0"/>
        <w:rPr>
          <w:rFonts w:cs="Arial"/>
          <w:b/>
          <w:szCs w:val="24"/>
        </w:rPr>
      </w:pPr>
    </w:p>
    <w:tbl>
      <w:tblPr>
        <w:tblStyle w:val="TableGrid"/>
        <w:tblW w:w="0" w:type="auto"/>
        <w:tblInd w:w="-856" w:type="dxa"/>
        <w:tblLook w:val="04A0" w:firstRow="1" w:lastRow="0" w:firstColumn="1" w:lastColumn="0" w:noHBand="0" w:noVBand="1"/>
      </w:tblPr>
      <w:tblGrid>
        <w:gridCol w:w="1679"/>
        <w:gridCol w:w="1501"/>
        <w:gridCol w:w="6501"/>
      </w:tblGrid>
      <w:tr w:rsidR="00882F91" w:rsidRPr="00E64C93" w14:paraId="6D45B1B0" w14:textId="77777777">
        <w:trPr>
          <w:trHeight w:val="454"/>
        </w:trPr>
        <w:tc>
          <w:tcPr>
            <w:tcW w:w="1819" w:type="dxa"/>
            <w:vMerge w:val="restart"/>
          </w:tcPr>
          <w:p w14:paraId="78F13BAD" w14:textId="2043E644" w:rsidR="00882F91" w:rsidRPr="002C602F" w:rsidRDefault="00766CFB">
            <w:pPr>
              <w:suppressAutoHyphens w:val="0"/>
              <w:spacing w:before="120"/>
              <w:rPr>
                <w:rFonts w:ascii="Arial" w:hAnsi="Arial" w:cs="Arial"/>
                <w:b/>
                <w:sz w:val="22"/>
                <w:szCs w:val="22"/>
              </w:rPr>
            </w:pPr>
            <w:r>
              <w:rPr>
                <w:rFonts w:ascii="Arial" w:hAnsi="Arial" w:cs="Arial"/>
                <w:b/>
                <w:sz w:val="22"/>
                <w:szCs w:val="22"/>
              </w:rPr>
              <w:t>Fisheries</w:t>
            </w:r>
          </w:p>
          <w:p w14:paraId="598B517C" w14:textId="77777777" w:rsidR="00882F91" w:rsidRPr="002C602F" w:rsidRDefault="00882F91">
            <w:pPr>
              <w:suppressAutoHyphens w:val="0"/>
              <w:rPr>
                <w:rFonts w:ascii="Arial" w:hAnsi="Arial" w:cs="Arial"/>
                <w:b/>
                <w:sz w:val="22"/>
                <w:szCs w:val="22"/>
              </w:rPr>
            </w:pPr>
          </w:p>
          <w:p w14:paraId="50C1E2C7" w14:textId="77777777" w:rsidR="00882F91" w:rsidRPr="00E64C93" w:rsidRDefault="00882F91">
            <w:pPr>
              <w:rPr>
                <w:rFonts w:ascii="Arial" w:hAnsi="Arial" w:cs="Arial"/>
                <w:b/>
              </w:rPr>
            </w:pPr>
            <w:r w:rsidRPr="002C602F">
              <w:rPr>
                <w:rFonts w:ascii="Arial" w:hAnsi="Arial" w:cs="Arial"/>
                <w:b/>
                <w:sz w:val="22"/>
                <w:szCs w:val="22"/>
              </w:rPr>
              <w:t xml:space="preserve">Pānui </w:t>
            </w:r>
            <w:r>
              <w:rPr>
                <w:rFonts w:ascii="Arial" w:hAnsi="Arial" w:cs="Arial"/>
                <w:b/>
                <w:sz w:val="22"/>
                <w:szCs w:val="22"/>
              </w:rPr>
              <w:t>08</w:t>
            </w:r>
            <w:r w:rsidRPr="002C602F">
              <w:rPr>
                <w:rFonts w:ascii="Arial" w:hAnsi="Arial" w:cs="Arial"/>
                <w:b/>
                <w:sz w:val="22"/>
                <w:szCs w:val="22"/>
              </w:rPr>
              <w:t>/20</w:t>
            </w:r>
            <w:r>
              <w:rPr>
                <w:rFonts w:ascii="Arial" w:hAnsi="Arial" w:cs="Arial"/>
                <w:b/>
                <w:sz w:val="22"/>
                <w:szCs w:val="22"/>
              </w:rPr>
              <w:t>26</w:t>
            </w:r>
          </w:p>
        </w:tc>
        <w:tc>
          <w:tcPr>
            <w:tcW w:w="1525" w:type="dxa"/>
          </w:tcPr>
          <w:p w14:paraId="3925D93D" w14:textId="77777777" w:rsidR="00882F91" w:rsidRPr="00E64C93" w:rsidRDefault="00882F91">
            <w:pPr>
              <w:suppressAutoHyphens w:val="0"/>
              <w:spacing w:before="120" w:after="120"/>
              <w:rPr>
                <w:rFonts w:ascii="Arial" w:hAnsi="Arial" w:cs="Arial"/>
                <w:i/>
              </w:rPr>
            </w:pPr>
            <w:r w:rsidRPr="00E64C93">
              <w:rPr>
                <w:rFonts w:ascii="Arial" w:hAnsi="Arial" w:cs="Arial"/>
                <w:b/>
                <w:sz w:val="22"/>
                <w:szCs w:val="22"/>
              </w:rPr>
              <w:t>Item:</w:t>
            </w:r>
          </w:p>
        </w:tc>
        <w:tc>
          <w:tcPr>
            <w:tcW w:w="6337" w:type="dxa"/>
          </w:tcPr>
          <w:p w14:paraId="7C0BD70B" w14:textId="77777777" w:rsidR="00882F91" w:rsidRPr="00394B4B" w:rsidRDefault="00882F91">
            <w:pPr>
              <w:pStyle w:val="BodyText"/>
              <w:spacing w:before="120"/>
              <w:rPr>
                <w:rFonts w:cs="Arial"/>
                <w:sz w:val="22"/>
                <w:szCs w:val="22"/>
              </w:rPr>
            </w:pPr>
            <w:r w:rsidRPr="00394B4B">
              <w:rPr>
                <w:rFonts w:cs="Arial"/>
                <w:b/>
                <w:bCs/>
                <w:sz w:val="22"/>
                <w:szCs w:val="22"/>
              </w:rPr>
              <w:t>Moana New Zealand Integrated Annual Report 2025</w:t>
            </w:r>
          </w:p>
        </w:tc>
      </w:tr>
      <w:tr w:rsidR="00882F91" w:rsidRPr="00E64C93" w14:paraId="7D177BDC" w14:textId="77777777">
        <w:trPr>
          <w:trHeight w:val="454"/>
        </w:trPr>
        <w:tc>
          <w:tcPr>
            <w:tcW w:w="1819" w:type="dxa"/>
            <w:vMerge/>
          </w:tcPr>
          <w:p w14:paraId="25BE8DF9" w14:textId="77777777" w:rsidR="00882F91" w:rsidRPr="00E64C93" w:rsidRDefault="00882F91">
            <w:pPr>
              <w:rPr>
                <w:rFonts w:ascii="Arial" w:hAnsi="Arial" w:cs="Arial"/>
                <w:b/>
              </w:rPr>
            </w:pPr>
          </w:p>
        </w:tc>
        <w:tc>
          <w:tcPr>
            <w:tcW w:w="1525" w:type="dxa"/>
          </w:tcPr>
          <w:p w14:paraId="1A5945A1" w14:textId="77777777" w:rsidR="00882F91" w:rsidRPr="00E64C93" w:rsidRDefault="00882F91">
            <w:pPr>
              <w:suppressAutoHyphens w:val="0"/>
              <w:spacing w:before="120" w:after="120"/>
              <w:rPr>
                <w:rFonts w:ascii="Arial" w:hAnsi="Arial" w:cs="Arial"/>
                <w:i/>
              </w:rPr>
            </w:pPr>
            <w:r>
              <w:rPr>
                <w:rFonts w:ascii="Arial" w:hAnsi="Arial" w:cs="Arial"/>
                <w:sz w:val="22"/>
                <w:szCs w:val="22"/>
              </w:rPr>
              <w:t>Publisher</w:t>
            </w:r>
            <w:r w:rsidRPr="00E64C93">
              <w:rPr>
                <w:rFonts w:ascii="Arial" w:hAnsi="Arial" w:cs="Arial"/>
                <w:sz w:val="22"/>
                <w:szCs w:val="22"/>
              </w:rPr>
              <w:t>:</w:t>
            </w:r>
          </w:p>
        </w:tc>
        <w:tc>
          <w:tcPr>
            <w:tcW w:w="6337" w:type="dxa"/>
          </w:tcPr>
          <w:p w14:paraId="6DD0DF7E" w14:textId="77777777" w:rsidR="00882F91" w:rsidRPr="00394B4B" w:rsidRDefault="00882F91">
            <w:pPr>
              <w:spacing w:before="120" w:after="120"/>
              <w:rPr>
                <w:rFonts w:ascii="Arial" w:hAnsi="Arial" w:cs="Arial"/>
                <w:sz w:val="22"/>
                <w:szCs w:val="18"/>
              </w:rPr>
            </w:pPr>
            <w:r w:rsidRPr="00394B4B">
              <w:rPr>
                <w:rFonts w:ascii="Arial" w:hAnsi="Arial" w:cs="Arial"/>
                <w:sz w:val="22"/>
                <w:szCs w:val="18"/>
              </w:rPr>
              <w:t>Aotearoa Fisheries Limited, trading as Moana New Zealand:</w:t>
            </w:r>
          </w:p>
          <w:p w14:paraId="011AD2D9" w14:textId="77777777" w:rsidR="00882F91" w:rsidRPr="00E64C93" w:rsidRDefault="00882F91">
            <w:pPr>
              <w:pStyle w:val="BodyText"/>
              <w:spacing w:before="120"/>
              <w:rPr>
                <w:rFonts w:cs="Arial"/>
                <w:sz w:val="22"/>
                <w:szCs w:val="22"/>
              </w:rPr>
            </w:pPr>
            <w:r w:rsidRPr="00394B4B">
              <w:rPr>
                <w:rFonts w:cs="Arial"/>
                <w:sz w:val="22"/>
                <w:szCs w:val="18"/>
              </w:rPr>
              <w:t>(Moana NZ) December 2025</w:t>
            </w:r>
          </w:p>
        </w:tc>
      </w:tr>
      <w:tr w:rsidR="00882F91" w:rsidRPr="0065283F" w14:paraId="4345E267" w14:textId="77777777">
        <w:trPr>
          <w:trHeight w:val="454"/>
        </w:trPr>
        <w:tc>
          <w:tcPr>
            <w:tcW w:w="1819" w:type="dxa"/>
            <w:vMerge/>
          </w:tcPr>
          <w:p w14:paraId="08F7AD7F" w14:textId="77777777" w:rsidR="00882F91" w:rsidRPr="00E64C93" w:rsidRDefault="00882F91">
            <w:pPr>
              <w:suppressAutoHyphens w:val="0"/>
              <w:rPr>
                <w:rFonts w:ascii="Arial" w:hAnsi="Arial" w:cs="Arial"/>
                <w:b/>
              </w:rPr>
            </w:pPr>
          </w:p>
        </w:tc>
        <w:tc>
          <w:tcPr>
            <w:tcW w:w="1525" w:type="dxa"/>
          </w:tcPr>
          <w:p w14:paraId="20C7A8D8" w14:textId="77777777" w:rsidR="00882F91" w:rsidRPr="00E64C93" w:rsidRDefault="00882F91">
            <w:pPr>
              <w:suppressAutoHyphens w:val="0"/>
              <w:spacing w:before="120" w:after="120"/>
              <w:rPr>
                <w:rFonts w:ascii="Arial" w:hAnsi="Arial" w:cs="Arial"/>
                <w:i/>
              </w:rPr>
            </w:pPr>
            <w:r w:rsidRPr="00E64C93">
              <w:rPr>
                <w:rFonts w:ascii="Arial" w:hAnsi="Arial" w:cs="Arial"/>
                <w:sz w:val="22"/>
                <w:szCs w:val="22"/>
              </w:rPr>
              <w:t>Content summary:</w:t>
            </w:r>
          </w:p>
        </w:tc>
        <w:tc>
          <w:tcPr>
            <w:tcW w:w="6337" w:type="dxa"/>
          </w:tcPr>
          <w:p w14:paraId="26A539CA" w14:textId="77777777" w:rsidR="00882F91" w:rsidRPr="00394B4B" w:rsidRDefault="00882F91">
            <w:pPr>
              <w:pStyle w:val="BodyText"/>
              <w:spacing w:before="120"/>
              <w:rPr>
                <w:rFonts w:cs="Arial"/>
                <w:sz w:val="22"/>
                <w:szCs w:val="18"/>
              </w:rPr>
            </w:pPr>
            <w:r w:rsidRPr="00394B4B">
              <w:rPr>
                <w:rFonts w:cs="Arial"/>
                <w:sz w:val="22"/>
                <w:szCs w:val="18"/>
              </w:rPr>
              <w:t>Below we have extracted key information from the financial statements.</w:t>
            </w:r>
          </w:p>
          <w:tbl>
            <w:tblPr>
              <w:tblStyle w:val="TableGrid"/>
              <w:tblW w:w="6275" w:type="dxa"/>
              <w:tblLayout w:type="fixed"/>
              <w:tblLook w:val="04A0" w:firstRow="1" w:lastRow="0" w:firstColumn="1" w:lastColumn="0" w:noHBand="0" w:noVBand="1"/>
            </w:tblPr>
            <w:tblGrid>
              <w:gridCol w:w="2287"/>
              <w:gridCol w:w="1427"/>
              <w:gridCol w:w="1427"/>
              <w:gridCol w:w="1134"/>
            </w:tblGrid>
            <w:tr w:rsidR="00882F91" w:rsidRPr="0001337C" w14:paraId="2983C548" w14:textId="77777777">
              <w:tc>
                <w:tcPr>
                  <w:tcW w:w="2287" w:type="dxa"/>
                </w:tcPr>
                <w:p w14:paraId="2BA6D3A0" w14:textId="77777777" w:rsidR="00882F91" w:rsidRPr="0001337C" w:rsidRDefault="00882F91">
                  <w:pPr>
                    <w:spacing w:before="120" w:after="120"/>
                    <w:rPr>
                      <w:rFonts w:ascii="Arial" w:hAnsi="Arial" w:cs="Arial"/>
                      <w:b/>
                    </w:rPr>
                  </w:pPr>
                  <w:r w:rsidRPr="0001337C">
                    <w:rPr>
                      <w:rFonts w:ascii="Arial" w:hAnsi="Arial" w:cs="Arial"/>
                      <w:b/>
                    </w:rPr>
                    <w:t>Summarised Financial Performance Notes</w:t>
                  </w:r>
                </w:p>
              </w:tc>
              <w:tc>
                <w:tcPr>
                  <w:tcW w:w="1427" w:type="dxa"/>
                </w:tcPr>
                <w:p w14:paraId="3A11616A" w14:textId="77777777" w:rsidR="00882F91" w:rsidRPr="0001337C" w:rsidRDefault="00882F91">
                  <w:pPr>
                    <w:spacing w:before="120" w:after="120"/>
                    <w:rPr>
                      <w:rFonts w:ascii="Arial" w:hAnsi="Arial" w:cs="Arial"/>
                      <w:b/>
                      <w:bCs/>
                    </w:rPr>
                  </w:pPr>
                  <w:r w:rsidRPr="0001337C">
                    <w:rPr>
                      <w:rFonts w:ascii="Arial" w:hAnsi="Arial" w:cs="Arial"/>
                      <w:b/>
                      <w:bCs/>
                      <w:lang w:eastAsia="en-NZ"/>
                    </w:rPr>
                    <w:t>Year to 30 Sept 2</w:t>
                  </w:r>
                  <w:r>
                    <w:rPr>
                      <w:rFonts w:ascii="Arial" w:hAnsi="Arial" w:cs="Arial"/>
                      <w:b/>
                      <w:bCs/>
                      <w:lang w:eastAsia="en-NZ"/>
                    </w:rPr>
                    <w:t>5</w:t>
                  </w:r>
                </w:p>
              </w:tc>
              <w:tc>
                <w:tcPr>
                  <w:tcW w:w="1427" w:type="dxa"/>
                </w:tcPr>
                <w:p w14:paraId="47D2F381" w14:textId="77777777" w:rsidR="00882F91" w:rsidRPr="0001337C" w:rsidRDefault="00882F91">
                  <w:pPr>
                    <w:spacing w:before="120" w:after="120"/>
                    <w:rPr>
                      <w:rFonts w:ascii="Arial" w:hAnsi="Arial" w:cs="Arial"/>
                      <w:b/>
                      <w:bCs/>
                    </w:rPr>
                  </w:pPr>
                  <w:r w:rsidRPr="0001337C">
                    <w:rPr>
                      <w:rFonts w:ascii="Arial" w:hAnsi="Arial" w:cs="Arial"/>
                      <w:b/>
                      <w:bCs/>
                      <w:lang w:eastAsia="en-NZ"/>
                    </w:rPr>
                    <w:t>Year to 30 Sept 2</w:t>
                  </w:r>
                  <w:r>
                    <w:rPr>
                      <w:rFonts w:ascii="Arial" w:hAnsi="Arial" w:cs="Arial"/>
                      <w:b/>
                      <w:bCs/>
                      <w:lang w:eastAsia="en-NZ"/>
                    </w:rPr>
                    <w:t>4</w:t>
                  </w:r>
                </w:p>
              </w:tc>
              <w:tc>
                <w:tcPr>
                  <w:tcW w:w="1134" w:type="dxa"/>
                </w:tcPr>
                <w:p w14:paraId="02D46718" w14:textId="77777777" w:rsidR="00882F91" w:rsidRPr="0001337C" w:rsidRDefault="00882F91">
                  <w:pPr>
                    <w:spacing w:before="120" w:after="120"/>
                    <w:rPr>
                      <w:rFonts w:ascii="Arial" w:hAnsi="Arial" w:cs="Arial"/>
                      <w:b/>
                    </w:rPr>
                  </w:pPr>
                </w:p>
              </w:tc>
            </w:tr>
            <w:tr w:rsidR="00882F91" w:rsidRPr="0001337C" w14:paraId="5C6E96F4" w14:textId="77777777">
              <w:tc>
                <w:tcPr>
                  <w:tcW w:w="2287" w:type="dxa"/>
                </w:tcPr>
                <w:p w14:paraId="3F343286" w14:textId="77777777" w:rsidR="00882F91" w:rsidRPr="0001337C" w:rsidRDefault="00882F91">
                  <w:pPr>
                    <w:spacing w:before="120" w:after="120"/>
                    <w:rPr>
                      <w:rFonts w:ascii="Arial" w:hAnsi="Arial" w:cs="Arial"/>
                    </w:rPr>
                  </w:pPr>
                  <w:r w:rsidRPr="0001337C">
                    <w:rPr>
                      <w:rFonts w:ascii="Arial" w:hAnsi="Arial" w:cs="Arial"/>
                    </w:rPr>
                    <w:t>Revenue</w:t>
                  </w:r>
                </w:p>
              </w:tc>
              <w:tc>
                <w:tcPr>
                  <w:tcW w:w="1427" w:type="dxa"/>
                </w:tcPr>
                <w:p w14:paraId="50832794" w14:textId="77777777" w:rsidR="00882F91" w:rsidRPr="0001337C" w:rsidRDefault="00882F91">
                  <w:pPr>
                    <w:spacing w:before="120" w:after="120"/>
                    <w:jc w:val="both"/>
                    <w:rPr>
                      <w:rFonts w:ascii="Arial" w:hAnsi="Arial" w:cs="Arial"/>
                    </w:rPr>
                  </w:pPr>
                  <w:r w:rsidRPr="0001337C">
                    <w:rPr>
                      <w:rFonts w:ascii="Arial" w:hAnsi="Arial" w:cs="Arial"/>
                      <w:lang w:eastAsia="en-NZ"/>
                    </w:rPr>
                    <w:t>$1</w:t>
                  </w:r>
                  <w:r>
                    <w:rPr>
                      <w:rFonts w:ascii="Arial" w:hAnsi="Arial" w:cs="Arial"/>
                      <w:lang w:eastAsia="en-NZ"/>
                    </w:rPr>
                    <w:t>61</w:t>
                  </w:r>
                  <w:r w:rsidRPr="0001337C">
                    <w:rPr>
                      <w:rFonts w:ascii="Arial" w:hAnsi="Arial" w:cs="Arial"/>
                      <w:lang w:eastAsia="en-NZ"/>
                    </w:rPr>
                    <w:t>.1 million</w:t>
                  </w:r>
                </w:p>
              </w:tc>
              <w:tc>
                <w:tcPr>
                  <w:tcW w:w="1427" w:type="dxa"/>
                </w:tcPr>
                <w:p w14:paraId="52923DFE" w14:textId="77777777" w:rsidR="00882F91" w:rsidRPr="0001337C" w:rsidRDefault="00882F91">
                  <w:pPr>
                    <w:spacing w:before="120" w:after="120"/>
                    <w:jc w:val="both"/>
                    <w:rPr>
                      <w:rFonts w:ascii="Arial" w:hAnsi="Arial" w:cs="Arial"/>
                    </w:rPr>
                  </w:pPr>
                  <w:r w:rsidRPr="0001337C">
                    <w:rPr>
                      <w:rFonts w:ascii="Arial" w:hAnsi="Arial" w:cs="Arial"/>
                      <w:lang w:eastAsia="en-NZ"/>
                    </w:rPr>
                    <w:t>$1</w:t>
                  </w:r>
                  <w:r>
                    <w:rPr>
                      <w:rFonts w:ascii="Arial" w:hAnsi="Arial" w:cs="Arial"/>
                      <w:lang w:eastAsia="en-NZ"/>
                    </w:rPr>
                    <w:t>65</w:t>
                  </w:r>
                  <w:r w:rsidRPr="0001337C">
                    <w:rPr>
                      <w:rFonts w:ascii="Arial" w:hAnsi="Arial" w:cs="Arial"/>
                      <w:lang w:eastAsia="en-NZ"/>
                    </w:rPr>
                    <w:t>.</w:t>
                  </w:r>
                  <w:r>
                    <w:rPr>
                      <w:rFonts w:ascii="Arial" w:hAnsi="Arial" w:cs="Arial"/>
                      <w:lang w:eastAsia="en-NZ"/>
                    </w:rPr>
                    <w:t>2</w:t>
                  </w:r>
                  <w:r w:rsidRPr="0001337C">
                    <w:rPr>
                      <w:rFonts w:ascii="Arial" w:hAnsi="Arial" w:cs="Arial"/>
                      <w:lang w:eastAsia="en-NZ"/>
                    </w:rPr>
                    <w:t xml:space="preserve"> million</w:t>
                  </w:r>
                </w:p>
              </w:tc>
              <w:tc>
                <w:tcPr>
                  <w:tcW w:w="1134" w:type="dxa"/>
                </w:tcPr>
                <w:p w14:paraId="4F612253" w14:textId="77777777" w:rsidR="00882F91" w:rsidRPr="0001337C" w:rsidRDefault="00882F91">
                  <w:pPr>
                    <w:spacing w:before="120" w:after="120"/>
                    <w:jc w:val="both"/>
                    <w:rPr>
                      <w:rFonts w:ascii="Arial" w:hAnsi="Arial" w:cs="Arial"/>
                    </w:rPr>
                  </w:pPr>
                  <w:r w:rsidRPr="0001337C">
                    <w:rPr>
                      <w:rFonts w:ascii="Arial" w:hAnsi="Arial" w:cs="Arial"/>
                      <w:noProof/>
                      <w:lang w:val="en-NZ" w:eastAsia="en-NZ"/>
                      <w14:ligatures w14:val="standardContextual"/>
                    </w:rPr>
                    <mc:AlternateContent>
                      <mc:Choice Requires="wps">
                        <w:drawing>
                          <wp:anchor distT="0" distB="0" distL="114300" distR="114300" simplePos="0" relativeHeight="251658240" behindDoc="0" locked="0" layoutInCell="1" allowOverlap="1" wp14:anchorId="558E1689" wp14:editId="4703763D">
                            <wp:simplePos x="0" y="0"/>
                            <wp:positionH relativeFrom="column">
                              <wp:posOffset>154861</wp:posOffset>
                            </wp:positionH>
                            <wp:positionV relativeFrom="paragraph">
                              <wp:posOffset>140553</wp:posOffset>
                            </wp:positionV>
                            <wp:extent cx="271145" cy="180975"/>
                            <wp:effectExtent l="6985" t="5715" r="27940" b="27940"/>
                            <wp:wrapNone/>
                            <wp:docPr id="894951858" name="Arrow: Right 1"/>
                            <wp:cNvGraphicFramePr/>
                            <a:graphic xmlns:a="http://schemas.openxmlformats.org/drawingml/2006/main">
                              <a:graphicData uri="http://schemas.microsoft.com/office/word/2010/wordprocessingShape">
                                <wps:wsp>
                                  <wps:cNvSpPr/>
                                  <wps:spPr>
                                    <a:xfrm rot="5400000">
                                      <a:off x="0" y="0"/>
                                      <a:ext cx="271145" cy="180975"/>
                                    </a:xfrm>
                                    <a:prstGeom prst="rightArrow">
                                      <a:avLst>
                                        <a:gd name="adj1" fmla="val 45385"/>
                                        <a:gd name="adj2" fmla="val 50000"/>
                                      </a:avLst>
                                    </a:prstGeom>
                                    <a:solidFill>
                                      <a:srgbClr val="EE0000"/>
                                    </a:solidFill>
                                    <a:ln>
                                      <a:solidFill>
                                        <a:srgbClr val="EE0000"/>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type w14:anchorId="40B8B7E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12.2pt;margin-top:11.05pt;width:21.35pt;height:14.25pt;rotation:90;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" adj="14392,5898" fillcolor="#e00" strokecolor="#e00" strokeweight="2pt"/>
                        </w:pict>
                      </mc:Fallback>
                    </mc:AlternateContent>
                  </w:r>
                </w:p>
              </w:tc>
            </w:tr>
            <w:tr w:rsidR="00882F91" w:rsidRPr="0001337C" w14:paraId="6F60952C" w14:textId="77777777">
              <w:tc>
                <w:tcPr>
                  <w:tcW w:w="2287" w:type="dxa"/>
                </w:tcPr>
                <w:p w14:paraId="19A1EF73" w14:textId="77777777" w:rsidR="00882F91" w:rsidRPr="0001337C" w:rsidRDefault="00882F91">
                  <w:pPr>
                    <w:spacing w:before="120" w:after="120"/>
                    <w:rPr>
                      <w:rFonts w:ascii="Arial" w:hAnsi="Arial" w:cs="Arial"/>
                    </w:rPr>
                  </w:pPr>
                  <w:proofErr w:type="gramStart"/>
                  <w:r w:rsidRPr="0001337C">
                    <w:rPr>
                      <w:rFonts w:ascii="Arial" w:hAnsi="Arial" w:cs="Arial"/>
                    </w:rPr>
                    <w:t>Plus</w:t>
                  </w:r>
                  <w:proofErr w:type="gramEnd"/>
                  <w:r w:rsidRPr="0001337C">
                    <w:rPr>
                      <w:rFonts w:ascii="Arial" w:hAnsi="Arial" w:cs="Arial"/>
                    </w:rPr>
                    <w:t xml:space="preserve"> Share of Sealord profit</w:t>
                  </w:r>
                </w:p>
              </w:tc>
              <w:tc>
                <w:tcPr>
                  <w:tcW w:w="1427" w:type="dxa"/>
                </w:tcPr>
                <w:p w14:paraId="746BDC53" w14:textId="77777777" w:rsidR="00882F91" w:rsidRPr="0001337C" w:rsidRDefault="00882F91">
                  <w:pPr>
                    <w:spacing w:before="120" w:after="120"/>
                    <w:jc w:val="both"/>
                    <w:rPr>
                      <w:rFonts w:ascii="Arial" w:hAnsi="Arial" w:cs="Arial"/>
                    </w:rPr>
                  </w:pPr>
                  <w:r w:rsidRPr="0001337C">
                    <w:rPr>
                      <w:rFonts w:ascii="Arial" w:hAnsi="Arial" w:cs="Arial"/>
                      <w:lang w:eastAsia="en-NZ"/>
                    </w:rPr>
                    <w:t>$</w:t>
                  </w:r>
                  <w:r>
                    <w:rPr>
                      <w:rFonts w:ascii="Arial" w:hAnsi="Arial" w:cs="Arial"/>
                      <w:lang w:eastAsia="en-NZ"/>
                    </w:rPr>
                    <w:t>11</w:t>
                  </w:r>
                  <w:r w:rsidRPr="0001337C">
                    <w:rPr>
                      <w:rFonts w:ascii="Arial" w:hAnsi="Arial" w:cs="Arial"/>
                      <w:lang w:eastAsia="en-NZ"/>
                    </w:rPr>
                    <w:t>.</w:t>
                  </w:r>
                  <w:r>
                    <w:rPr>
                      <w:rFonts w:ascii="Arial" w:hAnsi="Arial" w:cs="Arial"/>
                      <w:lang w:eastAsia="en-NZ"/>
                    </w:rPr>
                    <w:t>5</w:t>
                  </w:r>
                  <w:r w:rsidRPr="0001337C">
                    <w:rPr>
                      <w:rFonts w:ascii="Arial" w:hAnsi="Arial" w:cs="Arial"/>
                      <w:lang w:eastAsia="en-NZ"/>
                    </w:rPr>
                    <w:t xml:space="preserve"> million</w:t>
                  </w:r>
                </w:p>
              </w:tc>
              <w:tc>
                <w:tcPr>
                  <w:tcW w:w="1427" w:type="dxa"/>
                </w:tcPr>
                <w:p w14:paraId="68F05C47" w14:textId="77777777" w:rsidR="00882F91" w:rsidRPr="00D84D02" w:rsidRDefault="00882F91">
                  <w:pPr>
                    <w:spacing w:before="120" w:after="120"/>
                    <w:jc w:val="both"/>
                    <w:rPr>
                      <w:rFonts w:ascii="Arial" w:hAnsi="Arial" w:cs="Arial"/>
                      <w:highlight w:val="yellow"/>
                    </w:rPr>
                  </w:pPr>
                  <w:r w:rsidRPr="00611AF4">
                    <w:rPr>
                      <w:rFonts w:ascii="Arial" w:hAnsi="Arial" w:cs="Arial"/>
                      <w:lang w:eastAsia="en-NZ"/>
                    </w:rPr>
                    <w:t>$26.8 million</w:t>
                  </w:r>
                </w:p>
              </w:tc>
              <w:tc>
                <w:tcPr>
                  <w:tcW w:w="1134" w:type="dxa"/>
                </w:tcPr>
                <w:p w14:paraId="68110102" w14:textId="77777777" w:rsidR="00882F91" w:rsidRPr="0001337C" w:rsidRDefault="00882F91">
                  <w:pPr>
                    <w:spacing w:before="120" w:after="120"/>
                    <w:jc w:val="both"/>
                    <w:rPr>
                      <w:rFonts w:ascii="Arial" w:hAnsi="Arial" w:cs="Arial"/>
                    </w:rPr>
                  </w:pPr>
                  <w:r w:rsidRPr="0001337C">
                    <w:rPr>
                      <w:rFonts w:ascii="Arial" w:hAnsi="Arial" w:cs="Arial"/>
                      <w:noProof/>
                      <w:lang w:val="en-NZ" w:eastAsia="en-NZ"/>
                      <w14:ligatures w14:val="standardContextual"/>
                    </w:rPr>
                    <mc:AlternateContent>
                      <mc:Choice Requires="wps">
                        <w:drawing>
                          <wp:anchor distT="0" distB="0" distL="114300" distR="114300" simplePos="0" relativeHeight="251658241" behindDoc="0" locked="0" layoutInCell="1" allowOverlap="1" wp14:anchorId="6ADBCE49" wp14:editId="0D85B558">
                            <wp:simplePos x="0" y="0"/>
                            <wp:positionH relativeFrom="column">
                              <wp:posOffset>154852</wp:posOffset>
                            </wp:positionH>
                            <wp:positionV relativeFrom="paragraph">
                              <wp:posOffset>137960</wp:posOffset>
                            </wp:positionV>
                            <wp:extent cx="271145" cy="180975"/>
                            <wp:effectExtent l="6985" t="5715" r="27940" b="27940"/>
                            <wp:wrapNone/>
                            <wp:docPr id="204695895" name="Arrow: Right 204695895"/>
                            <wp:cNvGraphicFramePr/>
                            <a:graphic xmlns:a="http://schemas.openxmlformats.org/drawingml/2006/main">
                              <a:graphicData uri="http://schemas.microsoft.com/office/word/2010/wordprocessingShape">
                                <wps:wsp>
                                  <wps:cNvSpPr/>
                                  <wps:spPr>
                                    <a:xfrm rot="5400000">
                                      <a:off x="0" y="0"/>
                                      <a:ext cx="271145" cy="180975"/>
                                    </a:xfrm>
                                    <a:prstGeom prst="rightArrow">
                                      <a:avLst>
                                        <a:gd name="adj1" fmla="val 45385"/>
                                        <a:gd name="adj2" fmla="val 50000"/>
                                      </a:avLst>
                                    </a:prstGeom>
                                    <a:solidFill>
                                      <a:srgbClr val="EE0000"/>
                                    </a:solidFill>
                                    <a:ln>
                                      <a:solidFill>
                                        <a:srgbClr val="EE0000"/>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1BB4F3D3" id="Arrow: Right 204695895" o:spid="_x0000_s1026" type="#_x0000_t13" style="position:absolute;margin-left:12.2pt;margin-top:10.85pt;width:21.35pt;height:14.25pt;rotation:90;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" adj="14392,5898" fillcolor="#e00" strokecolor="#e00" strokeweight="2pt"/>
                        </w:pict>
                      </mc:Fallback>
                    </mc:AlternateContent>
                  </w:r>
                </w:p>
              </w:tc>
            </w:tr>
            <w:tr w:rsidR="00882F91" w:rsidRPr="0001337C" w14:paraId="110DF976" w14:textId="77777777">
              <w:tc>
                <w:tcPr>
                  <w:tcW w:w="2287" w:type="dxa"/>
                </w:tcPr>
                <w:p w14:paraId="6747A4F4" w14:textId="77777777" w:rsidR="00882F91" w:rsidRPr="0001337C" w:rsidRDefault="00882F91">
                  <w:pPr>
                    <w:spacing w:before="120" w:after="120"/>
                    <w:rPr>
                      <w:rFonts w:ascii="Arial" w:hAnsi="Arial" w:cs="Arial"/>
                    </w:rPr>
                  </w:pPr>
                  <w:r w:rsidRPr="0001337C">
                    <w:rPr>
                      <w:rFonts w:ascii="Arial" w:hAnsi="Arial" w:cs="Arial"/>
                    </w:rPr>
                    <w:t>Profit after expenses and tax</w:t>
                  </w:r>
                </w:p>
              </w:tc>
              <w:tc>
                <w:tcPr>
                  <w:tcW w:w="1427" w:type="dxa"/>
                </w:tcPr>
                <w:p w14:paraId="42901B1A" w14:textId="77777777" w:rsidR="00882F91" w:rsidRPr="0001337C" w:rsidRDefault="00882F91">
                  <w:pPr>
                    <w:spacing w:before="120" w:after="120"/>
                    <w:jc w:val="both"/>
                    <w:rPr>
                      <w:rFonts w:ascii="Arial" w:hAnsi="Arial" w:cs="Arial"/>
                    </w:rPr>
                  </w:pPr>
                  <w:r w:rsidRPr="0001337C">
                    <w:rPr>
                      <w:rFonts w:ascii="Arial" w:hAnsi="Arial" w:cs="Arial"/>
                      <w:lang w:eastAsia="en-NZ"/>
                    </w:rPr>
                    <w:t>$</w:t>
                  </w:r>
                  <w:r>
                    <w:rPr>
                      <w:rFonts w:ascii="Arial" w:hAnsi="Arial" w:cs="Arial"/>
                      <w:lang w:eastAsia="en-NZ"/>
                    </w:rPr>
                    <w:t>11</w:t>
                  </w:r>
                  <w:r w:rsidRPr="0001337C">
                    <w:rPr>
                      <w:rFonts w:ascii="Arial" w:hAnsi="Arial" w:cs="Arial"/>
                      <w:lang w:eastAsia="en-NZ"/>
                    </w:rPr>
                    <w:t>.</w:t>
                  </w:r>
                  <w:r>
                    <w:rPr>
                      <w:rFonts w:ascii="Arial" w:hAnsi="Arial" w:cs="Arial"/>
                      <w:lang w:eastAsia="en-NZ"/>
                    </w:rPr>
                    <w:t>1</w:t>
                  </w:r>
                  <w:r w:rsidRPr="0001337C">
                    <w:rPr>
                      <w:rFonts w:ascii="Arial" w:hAnsi="Arial" w:cs="Arial"/>
                      <w:lang w:eastAsia="en-NZ"/>
                    </w:rPr>
                    <w:t xml:space="preserve"> million</w:t>
                  </w:r>
                </w:p>
              </w:tc>
              <w:tc>
                <w:tcPr>
                  <w:tcW w:w="1427" w:type="dxa"/>
                </w:tcPr>
                <w:p w14:paraId="2D6C94F4" w14:textId="77777777" w:rsidR="00882F91" w:rsidRPr="0001337C" w:rsidRDefault="00882F91">
                  <w:pPr>
                    <w:spacing w:before="120" w:after="120"/>
                    <w:jc w:val="both"/>
                    <w:rPr>
                      <w:rFonts w:ascii="Arial" w:hAnsi="Arial" w:cs="Arial"/>
                    </w:rPr>
                  </w:pPr>
                  <w:r w:rsidRPr="00C11297">
                    <w:rPr>
                      <w:rFonts w:ascii="Arial" w:hAnsi="Arial" w:cs="Arial"/>
                      <w:lang w:eastAsia="en-NZ"/>
                    </w:rPr>
                    <w:t>$</w:t>
                  </w:r>
                  <w:r>
                    <w:rPr>
                      <w:rFonts w:ascii="Arial" w:hAnsi="Arial" w:cs="Arial"/>
                      <w:lang w:eastAsia="en-NZ"/>
                    </w:rPr>
                    <w:t>31.3</w:t>
                  </w:r>
                  <w:r w:rsidRPr="00C11297">
                    <w:rPr>
                      <w:rFonts w:ascii="Arial" w:hAnsi="Arial" w:cs="Arial"/>
                      <w:lang w:eastAsia="en-NZ"/>
                    </w:rPr>
                    <w:t xml:space="preserve"> million</w:t>
                  </w:r>
                </w:p>
              </w:tc>
              <w:tc>
                <w:tcPr>
                  <w:tcW w:w="1134" w:type="dxa"/>
                </w:tcPr>
                <w:p w14:paraId="399B2CAF" w14:textId="77777777" w:rsidR="00882F91" w:rsidRPr="0001337C" w:rsidRDefault="00882F91">
                  <w:pPr>
                    <w:spacing w:before="120" w:after="120"/>
                    <w:jc w:val="both"/>
                    <w:rPr>
                      <w:rFonts w:ascii="Arial" w:hAnsi="Arial" w:cs="Arial"/>
                    </w:rPr>
                  </w:pPr>
                  <w:r w:rsidRPr="0001337C">
                    <w:rPr>
                      <w:rFonts w:ascii="Arial" w:hAnsi="Arial" w:cs="Arial"/>
                      <w:noProof/>
                      <w:lang w:val="en-NZ" w:eastAsia="en-NZ"/>
                      <w14:ligatures w14:val="standardContextual"/>
                    </w:rPr>
                    <mc:AlternateContent>
                      <mc:Choice Requires="wps">
                        <w:drawing>
                          <wp:anchor distT="0" distB="0" distL="114300" distR="114300" simplePos="0" relativeHeight="251658242" behindDoc="0" locked="0" layoutInCell="1" allowOverlap="1" wp14:anchorId="5D8A96F5" wp14:editId="28CE125E">
                            <wp:simplePos x="0" y="0"/>
                            <wp:positionH relativeFrom="column">
                              <wp:posOffset>163204</wp:posOffset>
                            </wp:positionH>
                            <wp:positionV relativeFrom="paragraph">
                              <wp:posOffset>117719</wp:posOffset>
                            </wp:positionV>
                            <wp:extent cx="271145" cy="180975"/>
                            <wp:effectExtent l="6985" t="5715" r="27940" b="27940"/>
                            <wp:wrapNone/>
                            <wp:docPr id="2026877667" name="Arrow: Right 2026877667"/>
                            <wp:cNvGraphicFramePr/>
                            <a:graphic xmlns:a="http://schemas.openxmlformats.org/drawingml/2006/main">
                              <a:graphicData uri="http://schemas.microsoft.com/office/word/2010/wordprocessingShape">
                                <wps:wsp>
                                  <wps:cNvSpPr/>
                                  <wps:spPr>
                                    <a:xfrm rot="5400000">
                                      <a:off x="0" y="0"/>
                                      <a:ext cx="271145" cy="180975"/>
                                    </a:xfrm>
                                    <a:prstGeom prst="rightArrow">
                                      <a:avLst>
                                        <a:gd name="adj1" fmla="val 45385"/>
                                        <a:gd name="adj2" fmla="val 50000"/>
                                      </a:avLst>
                                    </a:prstGeom>
                                    <a:solidFill>
                                      <a:srgbClr val="EE0000"/>
                                    </a:solidFill>
                                    <a:ln>
                                      <a:solidFill>
                                        <a:srgbClr val="EE0000"/>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20543591" id="Arrow: Right 2026877667" o:spid="_x0000_s1026" type="#_x0000_t13" style="position:absolute;margin-left:12.85pt;margin-top:9.25pt;width:21.35pt;height:14.25pt;rotation:90;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" adj="14392,5898" fillcolor="#e00" strokecolor="#e00" strokeweight="2pt"/>
                        </w:pict>
                      </mc:Fallback>
                    </mc:AlternateContent>
                  </w:r>
                </w:p>
              </w:tc>
            </w:tr>
          </w:tbl>
          <w:p w14:paraId="6027ED12" w14:textId="77777777" w:rsidR="00882F91" w:rsidRPr="0001337C" w:rsidRDefault="00882F91">
            <w:pPr>
              <w:suppressAutoHyphens w:val="0"/>
              <w:spacing w:after="120"/>
              <w:textAlignment w:val="center"/>
              <w:rPr>
                <w:rFonts w:ascii="Arial" w:hAnsi="Arial" w:cs="Arial"/>
                <w:lang w:val="en-US"/>
              </w:rPr>
            </w:pPr>
          </w:p>
          <w:tbl>
            <w:tblPr>
              <w:tblStyle w:val="TableGrid"/>
              <w:tblW w:w="0" w:type="auto"/>
              <w:tblLayout w:type="fixed"/>
              <w:tblLook w:val="04A0" w:firstRow="1" w:lastRow="0" w:firstColumn="1" w:lastColumn="0" w:noHBand="0" w:noVBand="1"/>
            </w:tblPr>
            <w:tblGrid>
              <w:gridCol w:w="2715"/>
              <w:gridCol w:w="1701"/>
              <w:gridCol w:w="1701"/>
            </w:tblGrid>
            <w:tr w:rsidR="00882F91" w:rsidRPr="0001337C" w14:paraId="01B65E6D" w14:textId="77777777">
              <w:tc>
                <w:tcPr>
                  <w:tcW w:w="2715" w:type="dxa"/>
                </w:tcPr>
                <w:p w14:paraId="76BEB722" w14:textId="77777777" w:rsidR="00882F91" w:rsidRPr="0001337C" w:rsidRDefault="00882F91">
                  <w:pPr>
                    <w:spacing w:before="120" w:after="120"/>
                    <w:rPr>
                      <w:rFonts w:ascii="Arial" w:hAnsi="Arial" w:cs="Arial"/>
                      <w:b/>
                    </w:rPr>
                  </w:pPr>
                  <w:r w:rsidRPr="0001337C">
                    <w:rPr>
                      <w:rFonts w:ascii="Arial" w:hAnsi="Arial" w:cs="Arial"/>
                      <w:b/>
                    </w:rPr>
                    <w:t>Summarised Financial Position Notes</w:t>
                  </w:r>
                </w:p>
              </w:tc>
              <w:tc>
                <w:tcPr>
                  <w:tcW w:w="1701" w:type="dxa"/>
                </w:tcPr>
                <w:p w14:paraId="0D848D43" w14:textId="77777777" w:rsidR="00882F91" w:rsidRPr="0001337C" w:rsidRDefault="00882F91">
                  <w:pPr>
                    <w:spacing w:before="120" w:after="120"/>
                    <w:rPr>
                      <w:rFonts w:ascii="Arial" w:hAnsi="Arial" w:cs="Arial"/>
                    </w:rPr>
                  </w:pPr>
                  <w:r w:rsidRPr="0001337C">
                    <w:rPr>
                      <w:rFonts w:ascii="Arial" w:hAnsi="Arial" w:cs="Arial"/>
                      <w:b/>
                    </w:rPr>
                    <w:t>Year to 30 Sept 2</w:t>
                  </w:r>
                  <w:r>
                    <w:rPr>
                      <w:rFonts w:ascii="Arial" w:hAnsi="Arial" w:cs="Arial"/>
                      <w:b/>
                    </w:rPr>
                    <w:t>5</w:t>
                  </w:r>
                </w:p>
              </w:tc>
              <w:tc>
                <w:tcPr>
                  <w:tcW w:w="1701" w:type="dxa"/>
                </w:tcPr>
                <w:p w14:paraId="312C0B33" w14:textId="77777777" w:rsidR="00882F91" w:rsidRPr="0001337C" w:rsidRDefault="00882F91">
                  <w:pPr>
                    <w:spacing w:before="120" w:after="120"/>
                    <w:rPr>
                      <w:rFonts w:ascii="Arial" w:hAnsi="Arial" w:cs="Arial"/>
                    </w:rPr>
                  </w:pPr>
                  <w:r w:rsidRPr="0001337C">
                    <w:rPr>
                      <w:rFonts w:ascii="Arial" w:hAnsi="Arial" w:cs="Arial"/>
                      <w:b/>
                    </w:rPr>
                    <w:t>Year to 30 Sept 2</w:t>
                  </w:r>
                  <w:r>
                    <w:rPr>
                      <w:rFonts w:ascii="Arial" w:hAnsi="Arial" w:cs="Arial"/>
                      <w:b/>
                    </w:rPr>
                    <w:t>4</w:t>
                  </w:r>
                </w:p>
              </w:tc>
            </w:tr>
            <w:tr w:rsidR="00882F91" w:rsidRPr="0001337C" w14:paraId="6F787F57" w14:textId="77777777">
              <w:tc>
                <w:tcPr>
                  <w:tcW w:w="2715" w:type="dxa"/>
                </w:tcPr>
                <w:p w14:paraId="4C51263B" w14:textId="77777777" w:rsidR="00882F91" w:rsidRPr="0001337C" w:rsidRDefault="00882F91">
                  <w:pPr>
                    <w:spacing w:before="120" w:after="120"/>
                    <w:rPr>
                      <w:rFonts w:ascii="Arial" w:hAnsi="Arial" w:cs="Arial"/>
                    </w:rPr>
                  </w:pPr>
                  <w:r w:rsidRPr="0001337C">
                    <w:rPr>
                      <w:rFonts w:ascii="Arial" w:hAnsi="Arial" w:cs="Arial"/>
                    </w:rPr>
                    <w:t>Assets</w:t>
                  </w:r>
                </w:p>
              </w:tc>
              <w:tc>
                <w:tcPr>
                  <w:tcW w:w="1701" w:type="dxa"/>
                </w:tcPr>
                <w:p w14:paraId="60348CD6" w14:textId="77777777" w:rsidR="00882F91" w:rsidRPr="0001337C" w:rsidRDefault="00882F91">
                  <w:pPr>
                    <w:spacing w:before="120" w:after="120"/>
                    <w:jc w:val="both"/>
                    <w:rPr>
                      <w:rFonts w:ascii="Arial" w:hAnsi="Arial" w:cs="Arial"/>
                    </w:rPr>
                  </w:pPr>
                  <w:r w:rsidRPr="0001337C">
                    <w:rPr>
                      <w:rFonts w:ascii="Arial" w:hAnsi="Arial" w:cs="Arial"/>
                      <w:lang w:eastAsia="en-NZ"/>
                    </w:rPr>
                    <w:t>$68</w:t>
                  </w:r>
                  <w:r>
                    <w:rPr>
                      <w:rFonts w:ascii="Arial" w:hAnsi="Arial" w:cs="Arial"/>
                      <w:lang w:eastAsia="en-NZ"/>
                    </w:rPr>
                    <w:t>7</w:t>
                  </w:r>
                  <w:r w:rsidRPr="0001337C">
                    <w:rPr>
                      <w:rFonts w:ascii="Arial" w:hAnsi="Arial" w:cs="Arial"/>
                      <w:lang w:eastAsia="en-NZ"/>
                    </w:rPr>
                    <w:t>.</w:t>
                  </w:r>
                  <w:r>
                    <w:rPr>
                      <w:rFonts w:ascii="Arial" w:hAnsi="Arial" w:cs="Arial"/>
                      <w:lang w:eastAsia="en-NZ"/>
                    </w:rPr>
                    <w:t>2</w:t>
                  </w:r>
                  <w:r w:rsidRPr="0001337C">
                    <w:rPr>
                      <w:rFonts w:ascii="Arial" w:hAnsi="Arial" w:cs="Arial"/>
                      <w:lang w:eastAsia="en-NZ"/>
                    </w:rPr>
                    <w:t xml:space="preserve"> million</w:t>
                  </w:r>
                </w:p>
              </w:tc>
              <w:tc>
                <w:tcPr>
                  <w:tcW w:w="1701" w:type="dxa"/>
                </w:tcPr>
                <w:p w14:paraId="5B0BD1B2" w14:textId="77777777" w:rsidR="00882F91" w:rsidRPr="0001337C" w:rsidRDefault="00882F91">
                  <w:pPr>
                    <w:spacing w:before="120" w:after="120"/>
                    <w:jc w:val="both"/>
                    <w:rPr>
                      <w:rFonts w:ascii="Arial" w:hAnsi="Arial" w:cs="Arial"/>
                    </w:rPr>
                  </w:pPr>
                  <w:r w:rsidRPr="0001337C">
                    <w:rPr>
                      <w:rFonts w:ascii="Arial" w:hAnsi="Arial" w:cs="Arial"/>
                      <w:lang w:eastAsia="en-NZ"/>
                    </w:rPr>
                    <w:t>$6</w:t>
                  </w:r>
                  <w:r>
                    <w:rPr>
                      <w:rFonts w:ascii="Arial" w:hAnsi="Arial" w:cs="Arial"/>
                      <w:lang w:eastAsia="en-NZ"/>
                    </w:rPr>
                    <w:t>82</w:t>
                  </w:r>
                  <w:r w:rsidRPr="0001337C">
                    <w:rPr>
                      <w:rFonts w:ascii="Arial" w:hAnsi="Arial" w:cs="Arial"/>
                      <w:lang w:eastAsia="en-NZ"/>
                    </w:rPr>
                    <w:t>.</w:t>
                  </w:r>
                  <w:r>
                    <w:rPr>
                      <w:rFonts w:ascii="Arial" w:hAnsi="Arial" w:cs="Arial"/>
                      <w:lang w:eastAsia="en-NZ"/>
                    </w:rPr>
                    <w:t>3</w:t>
                  </w:r>
                  <w:r w:rsidRPr="0001337C">
                    <w:rPr>
                      <w:rFonts w:ascii="Arial" w:hAnsi="Arial" w:cs="Arial"/>
                      <w:lang w:eastAsia="en-NZ"/>
                    </w:rPr>
                    <w:t xml:space="preserve"> million</w:t>
                  </w:r>
                </w:p>
              </w:tc>
            </w:tr>
            <w:tr w:rsidR="00882F91" w:rsidRPr="0001337C" w14:paraId="780B4E2F" w14:textId="77777777">
              <w:tc>
                <w:tcPr>
                  <w:tcW w:w="2715" w:type="dxa"/>
                </w:tcPr>
                <w:p w14:paraId="7CBA1919" w14:textId="77777777" w:rsidR="00882F91" w:rsidRPr="0001337C" w:rsidRDefault="00882F91">
                  <w:pPr>
                    <w:spacing w:before="120" w:after="120"/>
                    <w:rPr>
                      <w:rFonts w:ascii="Arial" w:hAnsi="Arial" w:cs="Arial"/>
                    </w:rPr>
                  </w:pPr>
                  <w:r w:rsidRPr="0001337C">
                    <w:rPr>
                      <w:rFonts w:ascii="Arial" w:hAnsi="Arial" w:cs="Arial"/>
                    </w:rPr>
                    <w:t>Liabilities</w:t>
                  </w:r>
                </w:p>
              </w:tc>
              <w:tc>
                <w:tcPr>
                  <w:tcW w:w="1701" w:type="dxa"/>
                </w:tcPr>
                <w:p w14:paraId="0A61D4E3" w14:textId="77777777" w:rsidR="00882F91" w:rsidRPr="0001337C" w:rsidRDefault="00882F91">
                  <w:pPr>
                    <w:spacing w:before="120" w:after="120"/>
                    <w:jc w:val="both"/>
                    <w:rPr>
                      <w:rFonts w:ascii="Arial" w:hAnsi="Arial" w:cs="Arial"/>
                    </w:rPr>
                  </w:pPr>
                  <w:r w:rsidRPr="0001337C">
                    <w:rPr>
                      <w:rFonts w:ascii="Arial" w:hAnsi="Arial" w:cs="Arial"/>
                      <w:lang w:eastAsia="en-NZ"/>
                    </w:rPr>
                    <w:t>$1</w:t>
                  </w:r>
                  <w:r>
                    <w:rPr>
                      <w:rFonts w:ascii="Arial" w:hAnsi="Arial" w:cs="Arial"/>
                      <w:lang w:eastAsia="en-NZ"/>
                    </w:rPr>
                    <w:t>28</w:t>
                  </w:r>
                  <w:r w:rsidRPr="0001337C">
                    <w:rPr>
                      <w:rFonts w:ascii="Arial" w:hAnsi="Arial" w:cs="Arial"/>
                      <w:lang w:eastAsia="en-NZ"/>
                    </w:rPr>
                    <w:t>.7 million</w:t>
                  </w:r>
                </w:p>
              </w:tc>
              <w:tc>
                <w:tcPr>
                  <w:tcW w:w="1701" w:type="dxa"/>
                </w:tcPr>
                <w:p w14:paraId="6630C53B" w14:textId="77777777" w:rsidR="00882F91" w:rsidRPr="0001337C" w:rsidRDefault="00882F91">
                  <w:pPr>
                    <w:spacing w:before="120" w:after="120"/>
                    <w:jc w:val="both"/>
                    <w:rPr>
                      <w:rFonts w:ascii="Arial" w:hAnsi="Arial" w:cs="Arial"/>
                    </w:rPr>
                  </w:pPr>
                  <w:r w:rsidRPr="0001337C">
                    <w:rPr>
                      <w:rFonts w:ascii="Arial" w:hAnsi="Arial" w:cs="Arial"/>
                      <w:lang w:eastAsia="en-NZ"/>
                    </w:rPr>
                    <w:t>$1</w:t>
                  </w:r>
                  <w:r>
                    <w:rPr>
                      <w:rFonts w:ascii="Arial" w:hAnsi="Arial" w:cs="Arial"/>
                      <w:lang w:eastAsia="en-NZ"/>
                    </w:rPr>
                    <w:t>26</w:t>
                  </w:r>
                  <w:r w:rsidRPr="0001337C">
                    <w:rPr>
                      <w:rFonts w:ascii="Arial" w:hAnsi="Arial" w:cs="Arial"/>
                      <w:lang w:eastAsia="en-NZ"/>
                    </w:rPr>
                    <w:t>.</w:t>
                  </w:r>
                  <w:r>
                    <w:rPr>
                      <w:rFonts w:ascii="Arial" w:hAnsi="Arial" w:cs="Arial"/>
                      <w:lang w:eastAsia="en-NZ"/>
                    </w:rPr>
                    <w:t>7</w:t>
                  </w:r>
                  <w:r w:rsidRPr="0001337C">
                    <w:rPr>
                      <w:rFonts w:ascii="Arial" w:hAnsi="Arial" w:cs="Arial"/>
                      <w:lang w:eastAsia="en-NZ"/>
                    </w:rPr>
                    <w:t xml:space="preserve"> million</w:t>
                  </w:r>
                </w:p>
              </w:tc>
            </w:tr>
            <w:tr w:rsidR="00882F91" w:rsidRPr="0001337C" w14:paraId="311BC169" w14:textId="77777777">
              <w:tc>
                <w:tcPr>
                  <w:tcW w:w="2715" w:type="dxa"/>
                </w:tcPr>
                <w:p w14:paraId="64C35489" w14:textId="77777777" w:rsidR="00882F91" w:rsidRPr="0001337C" w:rsidRDefault="00882F91">
                  <w:pPr>
                    <w:spacing w:before="120" w:after="120"/>
                    <w:rPr>
                      <w:rFonts w:ascii="Arial" w:hAnsi="Arial" w:cs="Arial"/>
                    </w:rPr>
                  </w:pPr>
                  <w:r w:rsidRPr="0001337C">
                    <w:rPr>
                      <w:rFonts w:ascii="Arial" w:hAnsi="Arial" w:cs="Arial"/>
                    </w:rPr>
                    <w:t>Equity</w:t>
                  </w:r>
                </w:p>
              </w:tc>
              <w:tc>
                <w:tcPr>
                  <w:tcW w:w="1701" w:type="dxa"/>
                </w:tcPr>
                <w:p w14:paraId="348F0887" w14:textId="77777777" w:rsidR="00882F91" w:rsidRPr="0001337C" w:rsidRDefault="00882F91">
                  <w:pPr>
                    <w:spacing w:before="120" w:after="120"/>
                    <w:jc w:val="both"/>
                    <w:rPr>
                      <w:rFonts w:ascii="Arial" w:hAnsi="Arial" w:cs="Arial"/>
                    </w:rPr>
                  </w:pPr>
                  <w:r w:rsidRPr="0001337C">
                    <w:rPr>
                      <w:rFonts w:ascii="Arial" w:hAnsi="Arial" w:cs="Arial"/>
                      <w:lang w:eastAsia="en-NZ"/>
                    </w:rPr>
                    <w:t>$55</w:t>
                  </w:r>
                  <w:r>
                    <w:rPr>
                      <w:rFonts w:ascii="Arial" w:hAnsi="Arial" w:cs="Arial"/>
                      <w:lang w:eastAsia="en-NZ"/>
                    </w:rPr>
                    <w:t>8</w:t>
                  </w:r>
                  <w:r w:rsidRPr="0001337C">
                    <w:rPr>
                      <w:rFonts w:ascii="Arial" w:hAnsi="Arial" w:cs="Arial"/>
                      <w:lang w:eastAsia="en-NZ"/>
                    </w:rPr>
                    <w:t>.</w:t>
                  </w:r>
                  <w:r>
                    <w:rPr>
                      <w:rFonts w:ascii="Arial" w:hAnsi="Arial" w:cs="Arial"/>
                      <w:lang w:eastAsia="en-NZ"/>
                    </w:rPr>
                    <w:t>5</w:t>
                  </w:r>
                  <w:r w:rsidRPr="0001337C">
                    <w:rPr>
                      <w:rFonts w:ascii="Arial" w:hAnsi="Arial" w:cs="Arial"/>
                      <w:lang w:eastAsia="en-NZ"/>
                    </w:rPr>
                    <w:t xml:space="preserve"> million</w:t>
                  </w:r>
                </w:p>
              </w:tc>
              <w:tc>
                <w:tcPr>
                  <w:tcW w:w="1701" w:type="dxa"/>
                </w:tcPr>
                <w:p w14:paraId="6E46E713" w14:textId="77777777" w:rsidR="00882F91" w:rsidRPr="0001337C" w:rsidRDefault="00882F91">
                  <w:pPr>
                    <w:spacing w:before="120" w:after="120"/>
                    <w:jc w:val="both"/>
                    <w:rPr>
                      <w:rFonts w:ascii="Arial" w:hAnsi="Arial" w:cs="Arial"/>
                    </w:rPr>
                  </w:pPr>
                  <w:r w:rsidRPr="0001337C">
                    <w:rPr>
                      <w:rFonts w:ascii="Arial" w:hAnsi="Arial" w:cs="Arial"/>
                      <w:lang w:eastAsia="en-NZ"/>
                    </w:rPr>
                    <w:t>$5</w:t>
                  </w:r>
                  <w:r>
                    <w:rPr>
                      <w:rFonts w:ascii="Arial" w:hAnsi="Arial" w:cs="Arial"/>
                      <w:lang w:eastAsia="en-NZ"/>
                    </w:rPr>
                    <w:t>55</w:t>
                  </w:r>
                  <w:r w:rsidRPr="0001337C">
                    <w:rPr>
                      <w:rFonts w:ascii="Arial" w:hAnsi="Arial" w:cs="Arial"/>
                      <w:lang w:eastAsia="en-NZ"/>
                    </w:rPr>
                    <w:t>.</w:t>
                  </w:r>
                  <w:r>
                    <w:rPr>
                      <w:rFonts w:ascii="Arial" w:hAnsi="Arial" w:cs="Arial"/>
                      <w:lang w:eastAsia="en-NZ"/>
                    </w:rPr>
                    <w:t>6</w:t>
                  </w:r>
                  <w:r w:rsidRPr="0001337C">
                    <w:rPr>
                      <w:rFonts w:ascii="Arial" w:hAnsi="Arial" w:cs="Arial"/>
                      <w:lang w:eastAsia="en-NZ"/>
                    </w:rPr>
                    <w:t xml:space="preserve"> million</w:t>
                  </w:r>
                </w:p>
              </w:tc>
            </w:tr>
            <w:tr w:rsidR="00882F91" w:rsidRPr="0001337C" w14:paraId="35ADC4BD" w14:textId="77777777">
              <w:tc>
                <w:tcPr>
                  <w:tcW w:w="2715" w:type="dxa"/>
                </w:tcPr>
                <w:p w14:paraId="10D79637" w14:textId="77777777" w:rsidR="00882F91" w:rsidRPr="00E26BBD" w:rsidRDefault="00882F91">
                  <w:pPr>
                    <w:spacing w:before="120" w:after="120"/>
                    <w:rPr>
                      <w:rFonts w:ascii="Arial" w:hAnsi="Arial" w:cs="Arial"/>
                    </w:rPr>
                  </w:pPr>
                  <w:r w:rsidRPr="00E26BBD">
                    <w:rPr>
                      <w:rFonts w:ascii="Arial" w:hAnsi="Arial" w:cs="Arial"/>
                    </w:rPr>
                    <w:t>Return to Shareholders</w:t>
                  </w:r>
                </w:p>
                <w:p w14:paraId="39AA70E1" w14:textId="77777777" w:rsidR="00882F91" w:rsidRPr="00E26BBD" w:rsidRDefault="00882F91">
                  <w:pPr>
                    <w:spacing w:before="120" w:after="120"/>
                    <w:rPr>
                      <w:rFonts w:ascii="Arial" w:hAnsi="Arial" w:cs="Arial"/>
                    </w:rPr>
                  </w:pPr>
                  <w:r w:rsidRPr="00E26BBD">
                    <w:rPr>
                      <w:rFonts w:ascii="Arial" w:hAnsi="Arial" w:cs="Arial"/>
                    </w:rPr>
                    <w:t>(cash dividend)</w:t>
                  </w:r>
                </w:p>
              </w:tc>
              <w:tc>
                <w:tcPr>
                  <w:tcW w:w="1701" w:type="dxa"/>
                </w:tcPr>
                <w:p w14:paraId="5AB94AB8" w14:textId="77777777" w:rsidR="00882F91" w:rsidRPr="00E26BBD" w:rsidRDefault="00882F91">
                  <w:pPr>
                    <w:spacing w:before="120" w:after="120"/>
                    <w:jc w:val="both"/>
                    <w:rPr>
                      <w:rFonts w:ascii="Arial" w:hAnsi="Arial" w:cs="Arial"/>
                    </w:rPr>
                  </w:pPr>
                  <w:r w:rsidRPr="00E26BBD">
                    <w:rPr>
                      <w:rFonts w:ascii="Arial" w:hAnsi="Arial" w:cs="Arial"/>
                      <w:lang w:eastAsia="en-NZ"/>
                    </w:rPr>
                    <w:t>$5.9 million</w:t>
                  </w:r>
                </w:p>
              </w:tc>
              <w:tc>
                <w:tcPr>
                  <w:tcW w:w="1701" w:type="dxa"/>
                </w:tcPr>
                <w:p w14:paraId="11744CAA" w14:textId="77777777" w:rsidR="00882F91" w:rsidRPr="00E26BBD" w:rsidRDefault="00882F91">
                  <w:pPr>
                    <w:spacing w:before="120" w:after="120"/>
                    <w:jc w:val="both"/>
                    <w:rPr>
                      <w:rFonts w:ascii="Arial" w:hAnsi="Arial" w:cs="Arial"/>
                    </w:rPr>
                  </w:pPr>
                  <w:r w:rsidRPr="00E26BBD">
                    <w:rPr>
                      <w:rFonts w:ascii="Arial" w:hAnsi="Arial" w:cs="Arial"/>
                      <w:lang w:eastAsia="en-NZ"/>
                    </w:rPr>
                    <w:t>$6.6 million</w:t>
                  </w:r>
                </w:p>
              </w:tc>
            </w:tr>
            <w:tr w:rsidR="00882F91" w:rsidRPr="0001337C" w14:paraId="36FA428B" w14:textId="77777777">
              <w:tc>
                <w:tcPr>
                  <w:tcW w:w="2715" w:type="dxa"/>
                </w:tcPr>
                <w:p w14:paraId="66615C3A" w14:textId="77777777" w:rsidR="00882F91" w:rsidRPr="0001337C" w:rsidRDefault="00882F91">
                  <w:pPr>
                    <w:spacing w:before="120" w:after="120"/>
                    <w:rPr>
                      <w:rFonts w:ascii="Arial" w:hAnsi="Arial" w:cs="Arial"/>
                    </w:rPr>
                  </w:pPr>
                  <w:r w:rsidRPr="0001337C">
                    <w:rPr>
                      <w:rFonts w:ascii="Arial" w:hAnsi="Arial" w:cs="Arial"/>
                    </w:rPr>
                    <w:t>Dividend per Share</w:t>
                  </w:r>
                </w:p>
              </w:tc>
              <w:tc>
                <w:tcPr>
                  <w:tcW w:w="1701" w:type="dxa"/>
                </w:tcPr>
                <w:p w14:paraId="401C078B" w14:textId="77777777" w:rsidR="00882F91" w:rsidRPr="0001337C" w:rsidRDefault="00882F91">
                  <w:pPr>
                    <w:spacing w:before="120" w:after="120"/>
                    <w:jc w:val="both"/>
                    <w:rPr>
                      <w:rFonts w:ascii="Arial" w:hAnsi="Arial" w:cs="Arial"/>
                    </w:rPr>
                  </w:pPr>
                  <w:r w:rsidRPr="0001337C">
                    <w:rPr>
                      <w:rFonts w:ascii="Arial" w:hAnsi="Arial" w:cs="Arial"/>
                      <w:lang w:eastAsia="en-NZ"/>
                    </w:rPr>
                    <w:t>$1</w:t>
                  </w:r>
                  <w:r>
                    <w:rPr>
                      <w:rFonts w:ascii="Arial" w:hAnsi="Arial" w:cs="Arial"/>
                      <w:lang w:eastAsia="en-NZ"/>
                    </w:rPr>
                    <w:t>1</w:t>
                  </w:r>
                  <w:r w:rsidRPr="0001337C">
                    <w:rPr>
                      <w:rFonts w:ascii="Arial" w:hAnsi="Arial" w:cs="Arial"/>
                      <w:lang w:eastAsia="en-NZ"/>
                    </w:rPr>
                    <w:t>.6</w:t>
                  </w:r>
                  <w:r>
                    <w:rPr>
                      <w:rFonts w:ascii="Arial" w:hAnsi="Arial" w:cs="Arial"/>
                      <w:lang w:eastAsia="en-NZ"/>
                    </w:rPr>
                    <w:t>9</w:t>
                  </w:r>
                </w:p>
              </w:tc>
              <w:tc>
                <w:tcPr>
                  <w:tcW w:w="1701" w:type="dxa"/>
                </w:tcPr>
                <w:p w14:paraId="0E5A3D9C" w14:textId="77777777" w:rsidR="00882F91" w:rsidRPr="0001337C" w:rsidRDefault="00882F91">
                  <w:pPr>
                    <w:spacing w:before="120" w:after="120"/>
                    <w:jc w:val="both"/>
                    <w:rPr>
                      <w:rFonts w:ascii="Arial" w:hAnsi="Arial" w:cs="Arial"/>
                    </w:rPr>
                  </w:pPr>
                  <w:r w:rsidRPr="0001337C">
                    <w:rPr>
                      <w:rFonts w:ascii="Arial" w:hAnsi="Arial" w:cs="Arial"/>
                      <w:lang w:eastAsia="en-NZ"/>
                    </w:rPr>
                    <w:t>$</w:t>
                  </w:r>
                  <w:r w:rsidRPr="00DA5186">
                    <w:rPr>
                      <w:rFonts w:ascii="Arial" w:hAnsi="Arial" w:cs="Arial"/>
                      <w:lang w:eastAsia="en-NZ"/>
                    </w:rPr>
                    <w:t>13.16</w:t>
                  </w:r>
                </w:p>
              </w:tc>
            </w:tr>
          </w:tbl>
          <w:p w14:paraId="39D7A32A" w14:textId="77777777" w:rsidR="00882F91" w:rsidRDefault="00882F91">
            <w:pPr>
              <w:suppressAutoHyphens w:val="0"/>
              <w:spacing w:after="120"/>
              <w:textAlignment w:val="center"/>
              <w:rPr>
                <w:rFonts w:ascii="Arial" w:hAnsi="Arial" w:cs="Arial"/>
                <w:lang w:val="en-US"/>
              </w:rPr>
            </w:pPr>
          </w:p>
          <w:p w14:paraId="209B65D7" w14:textId="77777777" w:rsidR="00882F91" w:rsidRDefault="00882F91">
            <w:pPr>
              <w:suppressAutoHyphens w:val="0"/>
              <w:spacing w:after="120"/>
              <w:textAlignment w:val="center"/>
              <w:rPr>
                <w:rFonts w:ascii="Arial" w:hAnsi="Arial" w:cs="Arial"/>
                <w:lang w:val="en-US"/>
              </w:rPr>
            </w:pPr>
          </w:p>
          <w:tbl>
            <w:tblPr>
              <w:tblStyle w:val="TableGrid2"/>
              <w:tblW w:w="6077" w:type="dxa"/>
              <w:tblLayout w:type="fixed"/>
              <w:tblLook w:val="04A0" w:firstRow="1" w:lastRow="0" w:firstColumn="1" w:lastColumn="0" w:noHBand="0" w:noVBand="1"/>
            </w:tblPr>
            <w:tblGrid>
              <w:gridCol w:w="1855"/>
              <w:gridCol w:w="1160"/>
              <w:gridCol w:w="958"/>
              <w:gridCol w:w="2104"/>
            </w:tblGrid>
            <w:tr w:rsidR="00882F91" w:rsidRPr="00A70D79" w14:paraId="5ABE8DFC" w14:textId="77777777">
              <w:trPr>
                <w:trHeight w:val="395"/>
              </w:trPr>
              <w:tc>
                <w:tcPr>
                  <w:tcW w:w="1855" w:type="dxa"/>
                </w:tcPr>
                <w:p w14:paraId="049EABF2" w14:textId="77777777" w:rsidR="00882F91" w:rsidRPr="00A70D79" w:rsidRDefault="00882F91">
                  <w:pPr>
                    <w:spacing w:before="120" w:after="120"/>
                    <w:rPr>
                      <w:rFonts w:ascii="Arial" w:hAnsi="Arial" w:cs="Arial"/>
                      <w:b/>
                      <w:bCs/>
                    </w:rPr>
                  </w:pPr>
                  <w:r w:rsidRPr="00A70D79">
                    <w:rPr>
                      <w:rFonts w:ascii="Arial" w:hAnsi="Arial" w:cs="Arial"/>
                      <w:b/>
                      <w:bCs/>
                    </w:rPr>
                    <w:t>Financial Ratios</w:t>
                  </w:r>
                </w:p>
              </w:tc>
              <w:tc>
                <w:tcPr>
                  <w:tcW w:w="1160" w:type="dxa"/>
                </w:tcPr>
                <w:p w14:paraId="5637174A" w14:textId="77777777" w:rsidR="00882F91" w:rsidRPr="00A70D79" w:rsidRDefault="00882F91">
                  <w:pPr>
                    <w:spacing w:before="120" w:after="120"/>
                    <w:jc w:val="both"/>
                    <w:rPr>
                      <w:rFonts w:ascii="Arial" w:hAnsi="Arial" w:cs="Arial"/>
                      <w:b/>
                      <w:bCs/>
                    </w:rPr>
                  </w:pPr>
                  <w:r w:rsidRPr="00A70D79">
                    <w:rPr>
                      <w:rFonts w:ascii="Arial" w:hAnsi="Arial" w:cs="Arial"/>
                      <w:b/>
                      <w:bCs/>
                    </w:rPr>
                    <w:t>202</w:t>
                  </w:r>
                  <w:r>
                    <w:rPr>
                      <w:rFonts w:ascii="Arial" w:hAnsi="Arial" w:cs="Arial"/>
                      <w:b/>
                      <w:bCs/>
                    </w:rPr>
                    <w:t xml:space="preserve">5 </w:t>
                  </w:r>
                  <w:r w:rsidRPr="00A70D79">
                    <w:rPr>
                      <w:rFonts w:ascii="Arial" w:hAnsi="Arial" w:cs="Arial"/>
                      <w:b/>
                      <w:bCs/>
                    </w:rPr>
                    <w:t>results</w:t>
                  </w:r>
                </w:p>
              </w:tc>
              <w:tc>
                <w:tcPr>
                  <w:tcW w:w="958" w:type="dxa"/>
                </w:tcPr>
                <w:p w14:paraId="1A854A73" w14:textId="77777777" w:rsidR="00882F91" w:rsidRPr="00A70D79" w:rsidRDefault="00882F91">
                  <w:pPr>
                    <w:spacing w:before="120" w:after="120"/>
                    <w:jc w:val="both"/>
                    <w:rPr>
                      <w:rFonts w:ascii="Arial" w:hAnsi="Arial" w:cs="Arial"/>
                      <w:b/>
                      <w:bCs/>
                    </w:rPr>
                  </w:pPr>
                  <w:r>
                    <w:rPr>
                      <w:rFonts w:ascii="Arial" w:hAnsi="Arial" w:cs="Arial"/>
                      <w:b/>
                      <w:bCs/>
                    </w:rPr>
                    <w:t>Trend</w:t>
                  </w:r>
                </w:p>
              </w:tc>
              <w:tc>
                <w:tcPr>
                  <w:tcW w:w="2104" w:type="dxa"/>
                </w:tcPr>
                <w:p w14:paraId="0685EC15" w14:textId="77777777" w:rsidR="00882F91" w:rsidRPr="00A70D79" w:rsidRDefault="00882F91">
                  <w:pPr>
                    <w:spacing w:before="120" w:after="120"/>
                    <w:rPr>
                      <w:rFonts w:ascii="Arial" w:hAnsi="Arial" w:cs="Arial"/>
                      <w:b/>
                      <w:bCs/>
                    </w:rPr>
                  </w:pPr>
                  <w:r w:rsidRPr="00A70D79">
                    <w:rPr>
                      <w:rFonts w:ascii="Arial" w:hAnsi="Arial" w:cs="Arial"/>
                      <w:b/>
                      <w:bCs/>
                    </w:rPr>
                    <w:t>Notes</w:t>
                  </w:r>
                  <w:r>
                    <w:rPr>
                      <w:rFonts w:ascii="Arial" w:hAnsi="Arial" w:cs="Arial"/>
                      <w:b/>
                      <w:bCs/>
                    </w:rPr>
                    <w:t xml:space="preserve"> (2024 data)</w:t>
                  </w:r>
                </w:p>
              </w:tc>
            </w:tr>
            <w:tr w:rsidR="00882F91" w:rsidRPr="00A70D79" w14:paraId="2AB2FEE4" w14:textId="77777777">
              <w:trPr>
                <w:trHeight w:val="595"/>
              </w:trPr>
              <w:tc>
                <w:tcPr>
                  <w:tcW w:w="1855" w:type="dxa"/>
                </w:tcPr>
                <w:p w14:paraId="5B59EAC4" w14:textId="77777777" w:rsidR="00882F91" w:rsidRPr="00A70D79" w:rsidRDefault="00882F91">
                  <w:pPr>
                    <w:spacing w:before="120" w:after="120"/>
                    <w:rPr>
                      <w:rFonts w:ascii="Arial" w:hAnsi="Arial" w:cs="Arial"/>
                    </w:rPr>
                  </w:pPr>
                  <w:r w:rsidRPr="00A70D79">
                    <w:rPr>
                      <w:rFonts w:ascii="Arial" w:hAnsi="Arial" w:cs="Arial"/>
                    </w:rPr>
                    <w:t>Return on Assets Deployed</w:t>
                  </w:r>
                </w:p>
              </w:tc>
              <w:tc>
                <w:tcPr>
                  <w:tcW w:w="1160" w:type="dxa"/>
                </w:tcPr>
                <w:p w14:paraId="23904276" w14:textId="77777777" w:rsidR="00882F91" w:rsidRPr="00ED773F" w:rsidRDefault="00882F91">
                  <w:pPr>
                    <w:spacing w:before="120" w:after="120"/>
                    <w:jc w:val="both"/>
                    <w:rPr>
                      <w:rFonts w:ascii="Arial" w:hAnsi="Arial" w:cs="Arial"/>
                      <w:highlight w:val="yellow"/>
                    </w:rPr>
                  </w:pPr>
                  <w:r w:rsidRPr="003470CC">
                    <w:rPr>
                      <w:rFonts w:ascii="Arial" w:hAnsi="Arial" w:cs="Arial"/>
                      <w:color w:val="C00000"/>
                    </w:rPr>
                    <w:t>-1.6%</w:t>
                  </w:r>
                </w:p>
              </w:tc>
              <w:tc>
                <w:tcPr>
                  <w:tcW w:w="958" w:type="dxa"/>
                </w:tcPr>
                <w:p w14:paraId="705279DD" w14:textId="77777777" w:rsidR="00882F91" w:rsidRPr="00ED773F" w:rsidRDefault="00882F91">
                  <w:pPr>
                    <w:spacing w:before="120" w:after="120"/>
                    <w:jc w:val="both"/>
                    <w:rPr>
                      <w:rFonts w:ascii="Arial" w:hAnsi="Arial" w:cs="Arial"/>
                      <w:noProof/>
                      <w:color w:val="E36C0A" w:themeColor="accent6" w:themeShade="BF"/>
                      <w:highlight w:val="yellow"/>
                    </w:rPr>
                  </w:pPr>
                  <w:r w:rsidRPr="00ED773F">
                    <w:rPr>
                      <w:rFonts w:cs="Arial"/>
                      <w:noProof/>
                      <w:color w:val="E36C0A" w:themeColor="accent6" w:themeShade="BF"/>
                      <w:highlight w:val="yellow"/>
                      <w:lang w:val="en-NZ" w:eastAsia="en-NZ"/>
                    </w:rPr>
                    <mc:AlternateContent>
                      <mc:Choice Requires="wps">
                        <w:drawing>
                          <wp:anchor distT="0" distB="0" distL="114300" distR="114300" simplePos="0" relativeHeight="251658243" behindDoc="0" locked="0" layoutInCell="1" allowOverlap="1" wp14:anchorId="04A36011" wp14:editId="0AA91D55">
                            <wp:simplePos x="0" y="0"/>
                            <wp:positionH relativeFrom="column">
                              <wp:posOffset>90558</wp:posOffset>
                            </wp:positionH>
                            <wp:positionV relativeFrom="paragraph">
                              <wp:posOffset>136343</wp:posOffset>
                            </wp:positionV>
                            <wp:extent cx="161925" cy="190500"/>
                            <wp:effectExtent l="19050" t="0" r="28575" b="38100"/>
                            <wp:wrapNone/>
                            <wp:docPr id="1231481774" name="Arrow: Up 1231481774"/>
                            <wp:cNvGraphicFramePr/>
                            <a:graphic xmlns:a="http://schemas.openxmlformats.org/drawingml/2006/main">
                              <a:graphicData uri="http://schemas.microsoft.com/office/word/2010/wordprocessingShape">
                                <wps:wsp>
                                  <wps:cNvSpPr/>
                                  <wps:spPr>
                                    <a:xfrm rot="10800000">
                                      <a:off x="0" y="0"/>
                                      <a:ext cx="161925" cy="190500"/>
                                    </a:xfrm>
                                    <a:prstGeom prst="upArrow">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5483366" id="Arrow: Up 1231481774" o:spid="_x0000_s1026" type="#_x0000_t68" style="position:absolute;margin-left:7.15pt;margin-top:10.75pt;width:12.75pt;height:15pt;rotation:18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" adj="9180" fillcolor="red" strokecolor="#41719c" strokeweight="1pt"/>
                        </w:pict>
                      </mc:Fallback>
                    </mc:AlternateContent>
                  </w:r>
                </w:p>
              </w:tc>
              <w:tc>
                <w:tcPr>
                  <w:tcW w:w="2104" w:type="dxa"/>
                </w:tcPr>
                <w:p w14:paraId="2719FAB0" w14:textId="77777777" w:rsidR="00882F91" w:rsidRPr="00ED773F" w:rsidRDefault="00882F91">
                  <w:pPr>
                    <w:spacing w:before="120" w:after="120"/>
                    <w:rPr>
                      <w:rFonts w:ascii="Arial" w:hAnsi="Arial" w:cs="Arial"/>
                      <w:highlight w:val="yellow"/>
                    </w:rPr>
                  </w:pPr>
                  <w:r w:rsidRPr="003470CC">
                    <w:rPr>
                      <w:rFonts w:ascii="Arial" w:hAnsi="Arial" w:cs="Arial"/>
                    </w:rPr>
                    <w:t>Was 4.6%</w:t>
                  </w:r>
                </w:p>
              </w:tc>
            </w:tr>
            <w:tr w:rsidR="00882F91" w:rsidRPr="00A70D79" w14:paraId="45510C54" w14:textId="77777777">
              <w:trPr>
                <w:trHeight w:val="595"/>
              </w:trPr>
              <w:tc>
                <w:tcPr>
                  <w:tcW w:w="1855" w:type="dxa"/>
                </w:tcPr>
                <w:p w14:paraId="2FE93936" w14:textId="77777777" w:rsidR="00882F91" w:rsidRPr="00A70D79" w:rsidRDefault="00882F91">
                  <w:pPr>
                    <w:spacing w:before="120" w:after="120"/>
                    <w:rPr>
                      <w:rFonts w:ascii="Arial" w:hAnsi="Arial" w:cs="Arial"/>
                    </w:rPr>
                  </w:pPr>
                  <w:r w:rsidRPr="00A70D79">
                    <w:rPr>
                      <w:rFonts w:ascii="Arial" w:hAnsi="Arial" w:cs="Arial"/>
                    </w:rPr>
                    <w:t>Debt to Equity Ratio Percentage</w:t>
                  </w:r>
                </w:p>
              </w:tc>
              <w:tc>
                <w:tcPr>
                  <w:tcW w:w="1160" w:type="dxa"/>
                </w:tcPr>
                <w:p w14:paraId="214491EE" w14:textId="77777777" w:rsidR="00882F91" w:rsidRPr="00ED773F" w:rsidRDefault="00882F91">
                  <w:pPr>
                    <w:spacing w:before="120" w:after="120"/>
                    <w:jc w:val="both"/>
                    <w:rPr>
                      <w:rFonts w:ascii="Arial" w:hAnsi="Arial" w:cs="Arial"/>
                      <w:highlight w:val="yellow"/>
                    </w:rPr>
                  </w:pPr>
                  <w:r w:rsidRPr="003470CC">
                    <w:rPr>
                      <w:rFonts w:ascii="Arial" w:hAnsi="Arial" w:cs="Arial"/>
                    </w:rPr>
                    <w:t xml:space="preserve"> 18.7%</w:t>
                  </w:r>
                </w:p>
              </w:tc>
              <w:tc>
                <w:tcPr>
                  <w:tcW w:w="958" w:type="dxa"/>
                </w:tcPr>
                <w:p w14:paraId="5E9F0B9C" w14:textId="77777777" w:rsidR="00882F91" w:rsidRPr="00ED773F" w:rsidRDefault="00882F91">
                  <w:pPr>
                    <w:spacing w:before="120" w:after="120"/>
                    <w:jc w:val="both"/>
                    <w:rPr>
                      <w:rFonts w:ascii="Arial" w:hAnsi="Arial" w:cs="Arial"/>
                      <w:highlight w:val="yellow"/>
                    </w:rPr>
                  </w:pPr>
                  <w:r w:rsidRPr="00ED773F">
                    <w:rPr>
                      <w:rFonts w:cs="Arial"/>
                      <w:noProof/>
                      <w:color w:val="E36C0A" w:themeColor="accent6" w:themeShade="BF"/>
                      <w:highlight w:val="yellow"/>
                      <w:lang w:val="en-NZ" w:eastAsia="en-NZ"/>
                    </w:rPr>
                    <mc:AlternateContent>
                      <mc:Choice Requires="wps">
                        <w:drawing>
                          <wp:anchor distT="0" distB="0" distL="114300" distR="114300" simplePos="0" relativeHeight="251658244" behindDoc="0" locked="0" layoutInCell="1" allowOverlap="1" wp14:anchorId="14D6FF5A" wp14:editId="170EDF63">
                            <wp:simplePos x="0" y="0"/>
                            <wp:positionH relativeFrom="column">
                              <wp:posOffset>115468</wp:posOffset>
                            </wp:positionH>
                            <wp:positionV relativeFrom="paragraph">
                              <wp:posOffset>143433</wp:posOffset>
                            </wp:positionV>
                            <wp:extent cx="161925" cy="190500"/>
                            <wp:effectExtent l="19050" t="0" r="28575" b="38100"/>
                            <wp:wrapNone/>
                            <wp:docPr id="1587162624" name="Arrow: Up 1587162624"/>
                            <wp:cNvGraphicFramePr/>
                            <a:graphic xmlns:a="http://schemas.openxmlformats.org/drawingml/2006/main">
                              <a:graphicData uri="http://schemas.microsoft.com/office/word/2010/wordprocessingShape">
                                <wps:wsp>
                                  <wps:cNvSpPr/>
                                  <wps:spPr>
                                    <a:xfrm rot="10800000">
                                      <a:off x="0" y="0"/>
                                      <a:ext cx="161925" cy="190500"/>
                                    </a:xfrm>
                                    <a:prstGeom prst="upArrow">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A352B54" id="Arrow: Up 1587162624" o:spid="_x0000_s1026" type="#_x0000_t68" style="position:absolute;margin-left:9.1pt;margin-top:11.3pt;width:12.75pt;height:15pt;rotation:18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" adj="9180" fillcolor="red" strokecolor="#41719c" strokeweight="1pt"/>
                        </w:pict>
                      </mc:Fallback>
                    </mc:AlternateContent>
                  </w:r>
                </w:p>
              </w:tc>
              <w:tc>
                <w:tcPr>
                  <w:tcW w:w="2104" w:type="dxa"/>
                </w:tcPr>
                <w:p w14:paraId="168D49B3" w14:textId="77777777" w:rsidR="00882F91" w:rsidRPr="00ED773F" w:rsidRDefault="00882F91">
                  <w:pPr>
                    <w:spacing w:before="120" w:after="120"/>
                    <w:rPr>
                      <w:rFonts w:ascii="Arial" w:hAnsi="Arial" w:cs="Arial"/>
                      <w:highlight w:val="yellow"/>
                    </w:rPr>
                  </w:pPr>
                  <w:r w:rsidRPr="003470CC">
                    <w:rPr>
                      <w:rFonts w:ascii="Arial" w:hAnsi="Arial" w:cs="Arial"/>
                    </w:rPr>
                    <w:t xml:space="preserve">Was 18.6% </w:t>
                  </w:r>
                </w:p>
              </w:tc>
            </w:tr>
          </w:tbl>
          <w:p w14:paraId="5152C41D" w14:textId="77777777" w:rsidR="00882F91" w:rsidRDefault="00882F91">
            <w:pPr>
              <w:suppressAutoHyphens w:val="0"/>
              <w:spacing w:after="120"/>
              <w:textAlignment w:val="center"/>
              <w:rPr>
                <w:rFonts w:ascii="Arial" w:hAnsi="Arial" w:cs="Arial"/>
                <w:lang w:val="en-US"/>
              </w:rPr>
            </w:pPr>
          </w:p>
          <w:p w14:paraId="6F3A5EF4" w14:textId="77777777" w:rsidR="00882F91" w:rsidRPr="00394B4B" w:rsidRDefault="00882F91">
            <w:pPr>
              <w:suppressAutoHyphens w:val="0"/>
              <w:spacing w:after="120"/>
              <w:textAlignment w:val="center"/>
              <w:rPr>
                <w:rFonts w:ascii="Arial" w:hAnsi="Arial" w:cs="Arial"/>
                <w:sz w:val="22"/>
                <w:szCs w:val="18"/>
                <w:lang w:val="en-US"/>
              </w:rPr>
            </w:pPr>
            <w:r w:rsidRPr="00394B4B">
              <w:rPr>
                <w:rFonts w:ascii="Arial" w:hAnsi="Arial" w:cs="Arial"/>
                <w:sz w:val="22"/>
                <w:szCs w:val="18"/>
                <w:lang w:val="en-US"/>
              </w:rPr>
              <w:t>The year to September 2025 proved to be another difficult one for Moana NZ – and the financial contribution from Sealord of $11.5 million is notably higher than the total net profit which was $11.1 million.  That means, in effect, Moana NZ (the in-shore fisheries business) ran at a slight loss, with no profit arising from its direct activities.</w:t>
            </w:r>
          </w:p>
          <w:p w14:paraId="2D59AF5A" w14:textId="77777777" w:rsidR="00882F91" w:rsidRPr="00394B4B" w:rsidRDefault="00882F91">
            <w:pPr>
              <w:suppressAutoHyphens w:val="0"/>
              <w:spacing w:after="120"/>
              <w:textAlignment w:val="center"/>
              <w:rPr>
                <w:rFonts w:ascii="Arial" w:hAnsi="Arial" w:cs="Arial"/>
                <w:sz w:val="22"/>
                <w:szCs w:val="18"/>
                <w:lang w:val="en-US"/>
              </w:rPr>
            </w:pPr>
            <w:r w:rsidRPr="00394B4B">
              <w:rPr>
                <w:rFonts w:ascii="Arial" w:hAnsi="Arial" w:cs="Arial"/>
                <w:sz w:val="22"/>
                <w:szCs w:val="18"/>
                <w:lang w:val="en-US"/>
              </w:rPr>
              <w:t xml:space="preserve">The ratio figures we calculate are poor.  Even </w:t>
            </w:r>
            <w:proofErr w:type="gramStart"/>
            <w:r w:rsidRPr="00394B4B">
              <w:rPr>
                <w:rFonts w:ascii="Arial" w:hAnsi="Arial" w:cs="Arial"/>
                <w:sz w:val="22"/>
                <w:szCs w:val="18"/>
                <w:lang w:val="en-US"/>
              </w:rPr>
              <w:t>inclusive</w:t>
            </w:r>
            <w:proofErr w:type="gramEnd"/>
            <w:r w:rsidRPr="00394B4B">
              <w:rPr>
                <w:rFonts w:ascii="Arial" w:hAnsi="Arial" w:cs="Arial"/>
                <w:sz w:val="22"/>
                <w:szCs w:val="18"/>
                <w:lang w:val="en-US"/>
              </w:rPr>
              <w:t xml:space="preserve"> of the Sealord contribution (which is profit from a different business), the return on assets deployed is 1.6% and the return on equity is 2%.  Tough for any business to make less than bank term deposits.</w:t>
            </w:r>
          </w:p>
          <w:p w14:paraId="64A8DB25" w14:textId="77777777" w:rsidR="00882F91" w:rsidRPr="00394B4B" w:rsidRDefault="00882F91">
            <w:pPr>
              <w:suppressAutoHyphens w:val="0"/>
              <w:spacing w:after="120"/>
              <w:textAlignment w:val="center"/>
              <w:rPr>
                <w:rFonts w:ascii="Arial" w:hAnsi="Arial" w:cs="Arial"/>
                <w:sz w:val="22"/>
                <w:szCs w:val="18"/>
                <w:lang w:val="en-US"/>
              </w:rPr>
            </w:pPr>
            <w:r w:rsidRPr="00394B4B">
              <w:rPr>
                <w:rFonts w:ascii="Arial" w:hAnsi="Arial" w:cs="Arial"/>
                <w:sz w:val="22"/>
                <w:szCs w:val="18"/>
                <w:lang w:val="en-US"/>
              </w:rPr>
              <w:t xml:space="preserve">Thus, finally, they talk of review and restructuring, which we have recommended for some years.  One sad outcome has been the closure of one business stream, </w:t>
            </w:r>
            <w:proofErr w:type="spellStart"/>
            <w:r w:rsidRPr="00394B4B">
              <w:rPr>
                <w:rFonts w:ascii="Arial" w:hAnsi="Arial" w:cs="Arial"/>
                <w:sz w:val="22"/>
                <w:szCs w:val="18"/>
                <w:lang w:val="en-US"/>
              </w:rPr>
              <w:t>paua</w:t>
            </w:r>
            <w:proofErr w:type="spellEnd"/>
            <w:r w:rsidRPr="00394B4B">
              <w:rPr>
                <w:rFonts w:ascii="Arial" w:hAnsi="Arial" w:cs="Arial"/>
                <w:sz w:val="22"/>
                <w:szCs w:val="18"/>
                <w:lang w:val="en-US"/>
              </w:rPr>
              <w:t xml:space="preserve"> </w:t>
            </w:r>
            <w:proofErr w:type="spellStart"/>
            <w:r w:rsidRPr="00394B4B">
              <w:rPr>
                <w:rFonts w:ascii="Arial" w:hAnsi="Arial" w:cs="Arial"/>
                <w:sz w:val="22"/>
                <w:szCs w:val="18"/>
                <w:lang w:val="en-US"/>
              </w:rPr>
              <w:t>kahurangi</w:t>
            </w:r>
            <w:proofErr w:type="spellEnd"/>
            <w:r w:rsidRPr="00394B4B">
              <w:rPr>
                <w:rFonts w:ascii="Arial" w:hAnsi="Arial" w:cs="Arial"/>
                <w:sz w:val="22"/>
                <w:szCs w:val="18"/>
                <w:lang w:val="en-US"/>
              </w:rPr>
              <w:t>, which they considered was running at a loss of circa $600k.</w:t>
            </w:r>
          </w:p>
          <w:p w14:paraId="3CEC1746" w14:textId="77777777" w:rsidR="00882F91" w:rsidRPr="00394B4B" w:rsidRDefault="00882F91">
            <w:pPr>
              <w:suppressAutoHyphens w:val="0"/>
              <w:spacing w:after="120"/>
              <w:textAlignment w:val="center"/>
              <w:rPr>
                <w:rFonts w:ascii="Arial" w:hAnsi="Arial" w:cs="Arial"/>
                <w:sz w:val="22"/>
                <w:szCs w:val="18"/>
                <w:lang w:val="en-US"/>
              </w:rPr>
            </w:pPr>
            <w:r w:rsidRPr="00394B4B">
              <w:rPr>
                <w:rFonts w:ascii="Arial" w:hAnsi="Arial" w:cs="Arial"/>
                <w:sz w:val="22"/>
                <w:szCs w:val="18"/>
                <w:lang w:val="en-US"/>
              </w:rPr>
              <w:t>Some extracts of note being:</w:t>
            </w:r>
          </w:p>
          <w:p w14:paraId="4845A36F" w14:textId="77777777" w:rsidR="00882F91" w:rsidRPr="00394B4B" w:rsidRDefault="00882F91">
            <w:pPr>
              <w:suppressAutoHyphens w:val="0"/>
              <w:spacing w:after="120"/>
              <w:ind w:left="328"/>
              <w:textAlignment w:val="center"/>
              <w:rPr>
                <w:rFonts w:ascii="Arial" w:hAnsi="Arial" w:cs="Arial"/>
                <w:sz w:val="22"/>
                <w:szCs w:val="18"/>
              </w:rPr>
            </w:pPr>
            <w:r w:rsidRPr="00394B4B">
              <w:rPr>
                <w:rFonts w:ascii="Arial" w:hAnsi="Arial" w:cs="Arial"/>
                <w:i/>
                <w:iCs/>
                <w:sz w:val="22"/>
                <w:szCs w:val="18"/>
              </w:rPr>
              <w:t>“We faced volatile market conditions driven by economic uncertainty, prompting a comprehensive review of our operations and a laser focus on cost-control across all areas”</w:t>
            </w:r>
            <w:r w:rsidRPr="00394B4B">
              <w:rPr>
                <w:rFonts w:ascii="Arial" w:hAnsi="Arial" w:cs="Arial"/>
                <w:sz w:val="22"/>
                <w:szCs w:val="18"/>
              </w:rPr>
              <w:t xml:space="preserve"> Chair, Dean Moana</w:t>
            </w:r>
          </w:p>
          <w:p w14:paraId="329BAC59" w14:textId="77777777" w:rsidR="00882F91" w:rsidRPr="00394B4B" w:rsidRDefault="00882F91">
            <w:pPr>
              <w:suppressAutoHyphens w:val="0"/>
              <w:spacing w:after="120"/>
              <w:ind w:left="425"/>
              <w:textAlignment w:val="center"/>
              <w:rPr>
                <w:rFonts w:ascii="Arial" w:hAnsi="Arial" w:cs="Arial"/>
                <w:i/>
                <w:iCs/>
                <w:sz w:val="22"/>
                <w:szCs w:val="18"/>
              </w:rPr>
            </w:pPr>
            <w:r w:rsidRPr="00394B4B">
              <w:rPr>
                <w:rFonts w:ascii="Arial" w:hAnsi="Arial" w:cs="Arial"/>
                <w:i/>
                <w:iCs/>
                <w:sz w:val="22"/>
                <w:szCs w:val="18"/>
              </w:rPr>
              <w:t>“Key financial outcomes for FY2024–2025 are as follows:</w:t>
            </w:r>
          </w:p>
          <w:p w14:paraId="192F8FB3" w14:textId="77777777" w:rsidR="00882F91" w:rsidRPr="00394B4B" w:rsidRDefault="00882F91" w:rsidP="00882F91">
            <w:pPr>
              <w:pStyle w:val="ListParagraph"/>
              <w:numPr>
                <w:ilvl w:val="0"/>
                <w:numId w:val="36"/>
              </w:numPr>
              <w:suppressAutoHyphens w:val="0"/>
              <w:spacing w:after="120"/>
              <w:ind w:left="1210"/>
              <w:contextualSpacing/>
              <w:textAlignment w:val="center"/>
              <w:rPr>
                <w:rFonts w:ascii="Arial" w:hAnsi="Arial" w:cs="Arial"/>
                <w:i/>
                <w:iCs/>
                <w:sz w:val="22"/>
                <w:szCs w:val="18"/>
              </w:rPr>
            </w:pPr>
            <w:r w:rsidRPr="00394B4B">
              <w:rPr>
                <w:rFonts w:ascii="Arial" w:hAnsi="Arial" w:cs="Arial"/>
                <w:i/>
                <w:iCs/>
                <w:sz w:val="22"/>
                <w:szCs w:val="18"/>
              </w:rPr>
              <w:t xml:space="preserve">Moana Operating EBIT: $5.8 million (38% of Plan) </w:t>
            </w:r>
          </w:p>
          <w:p w14:paraId="50A896CD" w14:textId="77777777" w:rsidR="00882F91" w:rsidRPr="00394B4B" w:rsidRDefault="00882F91" w:rsidP="00882F91">
            <w:pPr>
              <w:pStyle w:val="ListParagraph"/>
              <w:numPr>
                <w:ilvl w:val="0"/>
                <w:numId w:val="36"/>
              </w:numPr>
              <w:suppressAutoHyphens w:val="0"/>
              <w:spacing w:after="120"/>
              <w:ind w:left="1210"/>
              <w:contextualSpacing/>
              <w:textAlignment w:val="center"/>
              <w:rPr>
                <w:rFonts w:ascii="Arial" w:hAnsi="Arial" w:cs="Arial"/>
                <w:i/>
                <w:iCs/>
                <w:sz w:val="22"/>
                <w:szCs w:val="18"/>
              </w:rPr>
            </w:pPr>
            <w:r w:rsidRPr="00394B4B">
              <w:rPr>
                <w:rFonts w:ascii="Arial" w:hAnsi="Arial" w:cs="Arial"/>
                <w:i/>
                <w:iCs/>
                <w:sz w:val="22"/>
                <w:szCs w:val="18"/>
              </w:rPr>
              <w:t xml:space="preserve">Sealord Profit: $11.5 million (84% of Plan) </w:t>
            </w:r>
          </w:p>
          <w:p w14:paraId="6EAE08F7" w14:textId="77777777" w:rsidR="00882F91" w:rsidRPr="00394B4B" w:rsidRDefault="00882F91" w:rsidP="00882F91">
            <w:pPr>
              <w:pStyle w:val="ListParagraph"/>
              <w:numPr>
                <w:ilvl w:val="0"/>
                <w:numId w:val="36"/>
              </w:numPr>
              <w:suppressAutoHyphens w:val="0"/>
              <w:spacing w:after="120"/>
              <w:ind w:left="1210"/>
              <w:contextualSpacing/>
              <w:textAlignment w:val="center"/>
              <w:rPr>
                <w:rFonts w:ascii="Arial" w:hAnsi="Arial" w:cs="Arial"/>
                <w:i/>
                <w:iCs/>
                <w:sz w:val="22"/>
                <w:szCs w:val="18"/>
              </w:rPr>
            </w:pPr>
            <w:r w:rsidRPr="00394B4B">
              <w:rPr>
                <w:rFonts w:ascii="Arial" w:hAnsi="Arial" w:cs="Arial"/>
                <w:i/>
                <w:iCs/>
                <w:sz w:val="22"/>
                <w:szCs w:val="18"/>
              </w:rPr>
              <w:t>Moana Net Profit After Tax: $11.1 million (52% of Plan)</w:t>
            </w:r>
          </w:p>
          <w:p w14:paraId="259AEB69" w14:textId="77777777" w:rsidR="00882F91" w:rsidRPr="0065283F" w:rsidRDefault="00882F91">
            <w:pPr>
              <w:suppressAutoHyphens w:val="0"/>
              <w:spacing w:before="120" w:after="120"/>
              <w:rPr>
                <w:rFonts w:ascii="Arial" w:hAnsi="Arial" w:cs="Arial"/>
                <w:bCs/>
              </w:rPr>
            </w:pPr>
            <w:r w:rsidRPr="00394B4B">
              <w:rPr>
                <w:rFonts w:ascii="Arial" w:hAnsi="Arial" w:cs="Arial"/>
                <w:i/>
                <w:iCs/>
                <w:sz w:val="22"/>
                <w:szCs w:val="18"/>
              </w:rPr>
              <w:t>These results are disappointing and reflect the challenging and volatile environment the business has been facing throughout FY2025.” CEO, Steve Tarrant</w:t>
            </w:r>
          </w:p>
        </w:tc>
      </w:tr>
      <w:tr w:rsidR="00882F91" w:rsidRPr="0065283F" w14:paraId="03B4F0CC" w14:textId="77777777">
        <w:trPr>
          <w:trHeight w:val="454"/>
        </w:trPr>
        <w:tc>
          <w:tcPr>
            <w:tcW w:w="1819" w:type="dxa"/>
            <w:vMerge/>
          </w:tcPr>
          <w:p w14:paraId="6B0B594A" w14:textId="77777777" w:rsidR="00882F91" w:rsidRPr="00E64C93" w:rsidRDefault="00882F91">
            <w:pPr>
              <w:suppressAutoHyphens w:val="0"/>
              <w:rPr>
                <w:rFonts w:ascii="Arial" w:hAnsi="Arial" w:cs="Arial"/>
                <w:b/>
              </w:rPr>
            </w:pPr>
          </w:p>
        </w:tc>
        <w:tc>
          <w:tcPr>
            <w:tcW w:w="1525" w:type="dxa"/>
          </w:tcPr>
          <w:p w14:paraId="2D6D5DDA" w14:textId="77777777" w:rsidR="00882F91" w:rsidRPr="0065283F" w:rsidRDefault="00882F91">
            <w:pPr>
              <w:suppressAutoHyphens w:val="0"/>
              <w:spacing w:before="120" w:after="120"/>
              <w:rPr>
                <w:rFonts w:ascii="Arial" w:hAnsi="Arial" w:cs="Arial"/>
                <w:sz w:val="22"/>
                <w:szCs w:val="22"/>
              </w:rPr>
            </w:pPr>
            <w:r w:rsidRPr="0065283F">
              <w:rPr>
                <w:rFonts w:ascii="Arial" w:hAnsi="Arial" w:cs="Arial"/>
                <w:sz w:val="22"/>
                <w:szCs w:val="22"/>
              </w:rPr>
              <w:t>Quality rating:</w:t>
            </w:r>
          </w:p>
        </w:tc>
        <w:tc>
          <w:tcPr>
            <w:tcW w:w="6337" w:type="dxa"/>
          </w:tcPr>
          <w:p w14:paraId="57B6324F" w14:textId="77777777" w:rsidR="00882F91" w:rsidRPr="0065283F" w:rsidRDefault="00882F91">
            <w:pPr>
              <w:suppressAutoHyphens w:val="0"/>
              <w:spacing w:before="120" w:after="120"/>
              <w:rPr>
                <w:rFonts w:ascii="Arial" w:hAnsi="Arial" w:cs="Arial"/>
                <w:bCs/>
              </w:rPr>
            </w:pPr>
            <w:r w:rsidRPr="007C0325">
              <w:rPr>
                <w:rFonts w:ascii="Arial" w:hAnsi="Arial" w:cs="Arial"/>
                <w:bCs/>
                <w:sz w:val="22"/>
                <w:szCs w:val="18"/>
              </w:rPr>
              <w:t>Marginal</w:t>
            </w:r>
          </w:p>
        </w:tc>
      </w:tr>
      <w:tr w:rsidR="00882F91" w:rsidRPr="0065283F" w14:paraId="6EB29F17" w14:textId="77777777">
        <w:trPr>
          <w:trHeight w:val="454"/>
        </w:trPr>
        <w:tc>
          <w:tcPr>
            <w:tcW w:w="1819" w:type="dxa"/>
            <w:vMerge/>
          </w:tcPr>
          <w:p w14:paraId="4F866B65" w14:textId="77777777" w:rsidR="00882F91" w:rsidRPr="00E64C93" w:rsidRDefault="00882F91">
            <w:pPr>
              <w:suppressAutoHyphens w:val="0"/>
              <w:rPr>
                <w:rFonts w:ascii="Arial" w:hAnsi="Arial" w:cs="Arial"/>
                <w:b/>
              </w:rPr>
            </w:pPr>
          </w:p>
        </w:tc>
        <w:tc>
          <w:tcPr>
            <w:tcW w:w="1525" w:type="dxa"/>
          </w:tcPr>
          <w:p w14:paraId="72D2DEC0" w14:textId="77777777" w:rsidR="00882F91" w:rsidRPr="0065283F" w:rsidRDefault="00882F91">
            <w:pPr>
              <w:suppressAutoHyphens w:val="0"/>
              <w:spacing w:before="120" w:after="120"/>
              <w:rPr>
                <w:rFonts w:ascii="Arial" w:hAnsi="Arial" w:cs="Arial"/>
                <w:sz w:val="22"/>
                <w:szCs w:val="22"/>
              </w:rPr>
            </w:pPr>
            <w:r w:rsidRPr="0065283F">
              <w:rPr>
                <w:rFonts w:ascii="Arial" w:hAnsi="Arial" w:cs="Arial"/>
                <w:sz w:val="22"/>
                <w:szCs w:val="22"/>
              </w:rPr>
              <w:t>Assessment rationale summary:</w:t>
            </w:r>
          </w:p>
        </w:tc>
        <w:tc>
          <w:tcPr>
            <w:tcW w:w="6337" w:type="dxa"/>
          </w:tcPr>
          <w:p w14:paraId="1EB85C85" w14:textId="77777777" w:rsidR="00882F91" w:rsidRPr="00513A16" w:rsidRDefault="00882F91">
            <w:pPr>
              <w:suppressAutoHyphens w:val="0"/>
              <w:spacing w:before="120" w:after="120"/>
              <w:rPr>
                <w:rFonts w:ascii="Arial" w:hAnsi="Arial" w:cs="Arial"/>
                <w:bCs/>
                <w:sz w:val="22"/>
                <w:szCs w:val="22"/>
              </w:rPr>
            </w:pPr>
            <w:r w:rsidRPr="00513A16">
              <w:rPr>
                <w:rFonts w:ascii="Arial" w:hAnsi="Arial" w:cs="Arial"/>
                <w:bCs/>
                <w:sz w:val="22"/>
                <w:szCs w:val="22"/>
              </w:rPr>
              <w:t xml:space="preserve">As a document, this annual report reads well.  It’s bilingual, has good graphics, and comprehensive in explaining periphery parts of the business.  It also has supplementary information – like engagement of Māori in the sector, valuing staff, and training younger leaders.  In these regards, it’s a good report.  </w:t>
            </w:r>
          </w:p>
          <w:p w14:paraId="21C21C08" w14:textId="77777777" w:rsidR="00882F91" w:rsidRPr="00513A16" w:rsidRDefault="00882F91">
            <w:pPr>
              <w:suppressAutoHyphens w:val="0"/>
              <w:spacing w:before="120" w:after="120"/>
              <w:rPr>
                <w:rFonts w:ascii="Arial" w:hAnsi="Arial" w:cs="Arial"/>
                <w:bCs/>
                <w:sz w:val="22"/>
                <w:szCs w:val="22"/>
              </w:rPr>
            </w:pPr>
            <w:r w:rsidRPr="00513A16">
              <w:rPr>
                <w:rFonts w:ascii="Arial" w:hAnsi="Arial" w:cs="Arial"/>
                <w:bCs/>
                <w:sz w:val="22"/>
                <w:szCs w:val="22"/>
              </w:rPr>
              <w:t xml:space="preserve">However, we rate this report as marginal due to core financial and business matters.  In particular, the report identifies that the company is down on profits, and on its fishing targets for the year. External factors are again, like the last two years, identified as being the constraints, like suppressed markets.  </w:t>
            </w:r>
          </w:p>
          <w:p w14:paraId="2EBA1DD9" w14:textId="77777777" w:rsidR="00882F91" w:rsidRPr="00513A16" w:rsidRDefault="00882F91">
            <w:pPr>
              <w:suppressAutoHyphens w:val="0"/>
              <w:spacing w:before="120" w:after="120"/>
              <w:rPr>
                <w:rFonts w:ascii="Arial" w:hAnsi="Arial" w:cs="Arial"/>
                <w:bCs/>
                <w:sz w:val="22"/>
                <w:szCs w:val="22"/>
              </w:rPr>
            </w:pPr>
            <w:r w:rsidRPr="00513A16">
              <w:rPr>
                <w:rFonts w:ascii="Arial" w:hAnsi="Arial" w:cs="Arial"/>
                <w:bCs/>
                <w:sz w:val="22"/>
                <w:szCs w:val="22"/>
              </w:rPr>
              <w:t>But the report has little sense of internal governance reflection and responsibility – i.e. did we really manage the business as well as we could have?  Questions like how come we didn’t hit fishing targets – were out boats out fishing or not, go unanswered, along with any detailed information on sales trends.</w:t>
            </w:r>
          </w:p>
          <w:p w14:paraId="3517D77D" w14:textId="77777777" w:rsidR="00882F91" w:rsidRPr="0065283F" w:rsidRDefault="00882F91">
            <w:pPr>
              <w:suppressAutoHyphens w:val="0"/>
              <w:spacing w:before="120" w:after="120"/>
              <w:rPr>
                <w:rFonts w:ascii="Arial" w:hAnsi="Arial" w:cs="Arial"/>
                <w:bCs/>
              </w:rPr>
            </w:pPr>
            <w:r w:rsidRPr="007C0325">
              <w:rPr>
                <w:rFonts w:ascii="Arial" w:hAnsi="Arial" w:cs="Arial"/>
                <w:bCs/>
                <w:sz w:val="22"/>
                <w:szCs w:val="22"/>
              </w:rPr>
              <w:t xml:space="preserve">Overall, despite the numerous pages of positive initiatives, and a review to cut costs, the financial report is not convincing in explaining that the governors are on top of their situation – they continue to read as too slow and too passive rather than directional and willing to take absolute responsibility for performance and results.  As an example, there is no sector benchmarking.  I.e. how does this company compare against other fisheries </w:t>
            </w:r>
            <w:proofErr w:type="gramStart"/>
            <w:r w:rsidRPr="007C0325">
              <w:rPr>
                <w:rFonts w:ascii="Arial" w:hAnsi="Arial" w:cs="Arial"/>
                <w:bCs/>
                <w:sz w:val="22"/>
                <w:szCs w:val="22"/>
              </w:rPr>
              <w:t>at this time</w:t>
            </w:r>
            <w:proofErr w:type="gramEnd"/>
            <w:r w:rsidRPr="007C0325">
              <w:rPr>
                <w:rFonts w:ascii="Arial" w:hAnsi="Arial" w:cs="Arial"/>
                <w:bCs/>
                <w:sz w:val="22"/>
                <w:szCs w:val="22"/>
              </w:rPr>
              <w:t>?  A fully independent review of this board, for all stakeholders to consider, remains our recommendation.</w:t>
            </w:r>
            <w:r w:rsidRPr="00513A16">
              <w:rPr>
                <w:rFonts w:ascii="Arial" w:hAnsi="Arial" w:cs="Arial"/>
                <w:bCs/>
              </w:rPr>
              <w:t xml:space="preserve">   </w:t>
            </w:r>
          </w:p>
        </w:tc>
      </w:tr>
    </w:tbl>
    <w:p w14:paraId="51C11FE3" w14:textId="77777777" w:rsidR="00882F91" w:rsidRDefault="00882F91" w:rsidP="00512709">
      <w:pPr>
        <w:pStyle w:val="BodyText"/>
        <w:suppressAutoHyphens w:val="0"/>
        <w:rPr>
          <w:rFonts w:cs="Arial"/>
          <w:b/>
          <w:szCs w:val="24"/>
        </w:rPr>
      </w:pPr>
    </w:p>
    <w:p w14:paraId="7AF3CEED" w14:textId="012515C2" w:rsidR="006C04E8" w:rsidRDefault="006B5DB4" w:rsidP="008F1A83">
      <w:pPr>
        <w:pStyle w:val="BodyText"/>
        <w:suppressAutoHyphens w:val="0"/>
        <w:rPr>
          <w:rFonts w:cs="Arial"/>
          <w:b/>
          <w:szCs w:val="24"/>
        </w:rPr>
      </w:pPr>
      <w:bookmarkStart w:id="15" w:name="aa3"/>
      <w:r w:rsidRPr="00020AB0">
        <w:rPr>
          <w:rFonts w:cs="Arial"/>
          <w:b/>
          <w:szCs w:val="24"/>
        </w:rPr>
        <w:t>Appendix 3 – Treaty of Waitangi Matters</w:t>
      </w:r>
      <w:bookmarkStart w:id="16" w:name="ap444"/>
      <w:bookmarkStart w:id="17" w:name="apPARLIMENT"/>
      <w:bookmarkStart w:id="18" w:name="PM22"/>
      <w:bookmarkEnd w:id="11"/>
      <w:bookmarkEnd w:id="12"/>
      <w:bookmarkEnd w:id="13"/>
    </w:p>
    <w:tbl>
      <w:tblPr>
        <w:tblStyle w:val="TableGrid"/>
        <w:tblW w:w="0" w:type="auto"/>
        <w:tblInd w:w="-856" w:type="dxa"/>
        <w:tblLook w:val="04A0" w:firstRow="1" w:lastRow="0" w:firstColumn="1" w:lastColumn="0" w:noHBand="0" w:noVBand="1"/>
      </w:tblPr>
      <w:tblGrid>
        <w:gridCol w:w="1092"/>
        <w:gridCol w:w="1426"/>
        <w:gridCol w:w="7163"/>
      </w:tblGrid>
      <w:tr w:rsidR="006C04E8" w:rsidRPr="00E64C93" w14:paraId="414F968F" w14:textId="77777777" w:rsidTr="003714D2">
        <w:trPr>
          <w:trHeight w:val="454"/>
        </w:trPr>
        <w:tc>
          <w:tcPr>
            <w:tcW w:w="1819" w:type="dxa"/>
            <w:vMerge w:val="restart"/>
          </w:tcPr>
          <w:p w14:paraId="62647CEB" w14:textId="77777777" w:rsidR="006C04E8" w:rsidRPr="00C55ADB" w:rsidRDefault="006C04E8">
            <w:pPr>
              <w:suppressAutoHyphens w:val="0"/>
              <w:spacing w:before="120"/>
              <w:rPr>
                <w:rFonts w:ascii="Arial" w:hAnsi="Arial" w:cs="Arial"/>
                <w:b/>
                <w:sz w:val="22"/>
                <w:szCs w:val="22"/>
              </w:rPr>
            </w:pPr>
            <w:r w:rsidRPr="00C55ADB">
              <w:rPr>
                <w:rFonts w:ascii="Arial" w:hAnsi="Arial" w:cs="Arial"/>
                <w:b/>
                <w:sz w:val="22"/>
                <w:szCs w:val="22"/>
              </w:rPr>
              <w:t>Treaty Claims</w:t>
            </w:r>
          </w:p>
          <w:p w14:paraId="441941B3" w14:textId="77777777" w:rsidR="006C04E8" w:rsidRPr="00C55ADB" w:rsidRDefault="006C04E8">
            <w:pPr>
              <w:suppressAutoHyphens w:val="0"/>
              <w:rPr>
                <w:rFonts w:ascii="Arial" w:hAnsi="Arial" w:cs="Arial"/>
                <w:b/>
                <w:sz w:val="22"/>
                <w:szCs w:val="22"/>
              </w:rPr>
            </w:pPr>
          </w:p>
          <w:p w14:paraId="17FA534F" w14:textId="77777777" w:rsidR="006C04E8" w:rsidRPr="00C55ADB" w:rsidRDefault="006C04E8">
            <w:pPr>
              <w:rPr>
                <w:rFonts w:ascii="Arial" w:hAnsi="Arial" w:cs="Arial"/>
                <w:b/>
                <w:sz w:val="22"/>
                <w:szCs w:val="22"/>
              </w:rPr>
            </w:pPr>
            <w:r w:rsidRPr="00C55ADB">
              <w:rPr>
                <w:rFonts w:ascii="Arial" w:hAnsi="Arial" w:cs="Arial"/>
                <w:b/>
                <w:sz w:val="22"/>
                <w:szCs w:val="22"/>
              </w:rPr>
              <w:t>Pānui 03/2026</w:t>
            </w:r>
          </w:p>
        </w:tc>
        <w:tc>
          <w:tcPr>
            <w:tcW w:w="1525" w:type="dxa"/>
          </w:tcPr>
          <w:p w14:paraId="795ACB06" w14:textId="77777777" w:rsidR="006C04E8" w:rsidRPr="00C55ADB" w:rsidRDefault="006C04E8">
            <w:pPr>
              <w:suppressAutoHyphens w:val="0"/>
              <w:spacing w:before="120" w:after="120"/>
              <w:rPr>
                <w:rFonts w:ascii="Arial" w:hAnsi="Arial" w:cs="Arial"/>
                <w:i/>
                <w:sz w:val="22"/>
                <w:szCs w:val="22"/>
              </w:rPr>
            </w:pPr>
            <w:r w:rsidRPr="00C55ADB">
              <w:rPr>
                <w:rFonts w:ascii="Arial" w:hAnsi="Arial" w:cs="Arial"/>
                <w:b/>
                <w:sz w:val="22"/>
                <w:szCs w:val="22"/>
              </w:rPr>
              <w:t>Item:</w:t>
            </w:r>
          </w:p>
        </w:tc>
        <w:tc>
          <w:tcPr>
            <w:tcW w:w="6337" w:type="dxa"/>
          </w:tcPr>
          <w:p w14:paraId="2B2B9067" w14:textId="77777777" w:rsidR="006C04E8" w:rsidRPr="00C55ADB" w:rsidRDefault="006C04E8">
            <w:pPr>
              <w:pStyle w:val="BodyText"/>
              <w:spacing w:before="120"/>
              <w:rPr>
                <w:rFonts w:cs="Arial"/>
                <w:sz w:val="22"/>
                <w:szCs w:val="22"/>
              </w:rPr>
            </w:pPr>
            <w:bookmarkStart w:id="19" w:name="ap5"/>
            <w:r w:rsidRPr="00C55ADB">
              <w:rPr>
                <w:rFonts w:cs="Arial"/>
                <w:b/>
                <w:bCs/>
                <w:sz w:val="22"/>
                <w:szCs w:val="22"/>
              </w:rPr>
              <w:t xml:space="preserve">Report to the House of Representatives on the </w:t>
            </w:r>
            <w:bookmarkEnd w:id="19"/>
            <w:r w:rsidRPr="00C55ADB">
              <w:rPr>
                <w:rFonts w:cs="Arial"/>
                <w:b/>
                <w:bCs/>
                <w:sz w:val="22"/>
                <w:szCs w:val="22"/>
              </w:rPr>
              <w:t>implementation of Waitangi Tribunal Recommendations for 2023/2024 – (</w:t>
            </w:r>
            <w:r w:rsidRPr="00C55ADB">
              <w:rPr>
                <w:rFonts w:cs="Arial"/>
                <w:b/>
                <w:sz w:val="22"/>
                <w:szCs w:val="22"/>
              </w:rPr>
              <w:t>Section 8I Report)</w:t>
            </w:r>
          </w:p>
        </w:tc>
      </w:tr>
      <w:tr w:rsidR="006C04E8" w:rsidRPr="00E64C93" w14:paraId="039BB24E" w14:textId="77777777" w:rsidTr="003714D2">
        <w:trPr>
          <w:trHeight w:val="454"/>
        </w:trPr>
        <w:tc>
          <w:tcPr>
            <w:tcW w:w="1819" w:type="dxa"/>
            <w:vMerge/>
          </w:tcPr>
          <w:p w14:paraId="254FCF4E" w14:textId="77777777" w:rsidR="006C04E8" w:rsidRPr="00C55ADB" w:rsidRDefault="006C04E8">
            <w:pPr>
              <w:rPr>
                <w:rFonts w:ascii="Arial" w:hAnsi="Arial" w:cs="Arial"/>
                <w:b/>
                <w:sz w:val="22"/>
                <w:szCs w:val="22"/>
              </w:rPr>
            </w:pPr>
          </w:p>
        </w:tc>
        <w:tc>
          <w:tcPr>
            <w:tcW w:w="1525" w:type="dxa"/>
          </w:tcPr>
          <w:p w14:paraId="01D0B7A2" w14:textId="77777777" w:rsidR="006C04E8" w:rsidRPr="00C55ADB" w:rsidRDefault="006C04E8">
            <w:pPr>
              <w:suppressAutoHyphens w:val="0"/>
              <w:spacing w:before="120" w:after="120"/>
              <w:rPr>
                <w:rFonts w:ascii="Arial" w:hAnsi="Arial" w:cs="Arial"/>
                <w:i/>
                <w:sz w:val="22"/>
                <w:szCs w:val="22"/>
              </w:rPr>
            </w:pPr>
            <w:r w:rsidRPr="00C55ADB">
              <w:rPr>
                <w:rFonts w:ascii="Arial" w:hAnsi="Arial" w:cs="Arial"/>
                <w:sz w:val="22"/>
                <w:szCs w:val="22"/>
              </w:rPr>
              <w:t>Publisher:</w:t>
            </w:r>
          </w:p>
        </w:tc>
        <w:tc>
          <w:tcPr>
            <w:tcW w:w="6337" w:type="dxa"/>
          </w:tcPr>
          <w:p w14:paraId="3F218297" w14:textId="77777777" w:rsidR="006C04E8" w:rsidRPr="00C55ADB" w:rsidRDefault="006C04E8">
            <w:pPr>
              <w:pStyle w:val="BodyText"/>
              <w:spacing w:before="120"/>
              <w:rPr>
                <w:rFonts w:cs="Arial"/>
                <w:sz w:val="22"/>
                <w:szCs w:val="22"/>
              </w:rPr>
            </w:pPr>
            <w:r w:rsidRPr="00C55ADB">
              <w:rPr>
                <w:rFonts w:cs="Arial"/>
                <w:sz w:val="22"/>
                <w:szCs w:val="22"/>
              </w:rPr>
              <w:t>Te Puni Kōkiri (TPK): November 2025</w:t>
            </w:r>
          </w:p>
        </w:tc>
      </w:tr>
      <w:tr w:rsidR="006C04E8" w:rsidRPr="0065283F" w14:paraId="2ACC285E" w14:textId="77777777" w:rsidTr="003714D2">
        <w:trPr>
          <w:trHeight w:val="454"/>
        </w:trPr>
        <w:tc>
          <w:tcPr>
            <w:tcW w:w="1819" w:type="dxa"/>
            <w:vMerge/>
          </w:tcPr>
          <w:p w14:paraId="0713FD7B" w14:textId="77777777" w:rsidR="006C04E8" w:rsidRPr="00C55ADB" w:rsidRDefault="006C04E8">
            <w:pPr>
              <w:suppressAutoHyphens w:val="0"/>
              <w:rPr>
                <w:rFonts w:ascii="Arial" w:hAnsi="Arial" w:cs="Arial"/>
                <w:b/>
                <w:sz w:val="22"/>
                <w:szCs w:val="22"/>
              </w:rPr>
            </w:pPr>
          </w:p>
        </w:tc>
        <w:tc>
          <w:tcPr>
            <w:tcW w:w="1525" w:type="dxa"/>
          </w:tcPr>
          <w:p w14:paraId="24F0126E" w14:textId="77777777" w:rsidR="006C04E8" w:rsidRPr="00C55ADB" w:rsidRDefault="006C04E8">
            <w:pPr>
              <w:suppressAutoHyphens w:val="0"/>
              <w:spacing w:before="120" w:after="120"/>
              <w:rPr>
                <w:rFonts w:ascii="Arial" w:hAnsi="Arial" w:cs="Arial"/>
                <w:i/>
                <w:sz w:val="22"/>
                <w:szCs w:val="22"/>
              </w:rPr>
            </w:pPr>
            <w:r w:rsidRPr="00C55ADB">
              <w:rPr>
                <w:rFonts w:ascii="Arial" w:hAnsi="Arial" w:cs="Arial"/>
                <w:sz w:val="22"/>
                <w:szCs w:val="22"/>
              </w:rPr>
              <w:t>Content summary:</w:t>
            </w:r>
          </w:p>
        </w:tc>
        <w:tc>
          <w:tcPr>
            <w:tcW w:w="6337" w:type="dxa"/>
          </w:tcPr>
          <w:p w14:paraId="28FFC906" w14:textId="77777777" w:rsidR="006C04E8" w:rsidRPr="00C55ADB" w:rsidRDefault="006C04E8">
            <w:pPr>
              <w:suppressAutoHyphens w:val="0"/>
              <w:spacing w:before="120" w:after="120"/>
              <w:rPr>
                <w:rFonts w:ascii="Arial" w:hAnsi="Arial" w:cs="Arial"/>
                <w:bCs/>
                <w:sz w:val="22"/>
                <w:szCs w:val="22"/>
              </w:rPr>
            </w:pPr>
            <w:r w:rsidRPr="00C55ADB">
              <w:rPr>
                <w:rFonts w:ascii="Arial" w:hAnsi="Arial" w:cs="Arial"/>
                <w:bCs/>
                <w:sz w:val="22"/>
                <w:szCs w:val="22"/>
              </w:rPr>
              <w:t>The purpose of this annual report is to provide Parliament with an update on the Crown’s progress in implementing recommendations of the Tribunal.  (It is a mandatory report required under section 8i of the Treaty of Waitangi Act 1975.)</w:t>
            </w:r>
          </w:p>
          <w:p w14:paraId="77CFB475" w14:textId="77777777" w:rsidR="006C04E8" w:rsidRPr="00C55ADB" w:rsidRDefault="006C04E8">
            <w:pPr>
              <w:suppressAutoHyphens w:val="0"/>
              <w:spacing w:before="120" w:after="120"/>
              <w:rPr>
                <w:rFonts w:ascii="Arial" w:hAnsi="Arial" w:cs="Arial"/>
                <w:b/>
                <w:bCs/>
                <w:sz w:val="22"/>
                <w:szCs w:val="22"/>
              </w:rPr>
            </w:pPr>
            <w:r w:rsidRPr="00C55ADB">
              <w:rPr>
                <w:rFonts w:ascii="Arial" w:hAnsi="Arial" w:cs="Arial"/>
                <w:b/>
                <w:bCs/>
                <w:sz w:val="22"/>
                <w:szCs w:val="22"/>
              </w:rPr>
              <w:t>Section One: Māori Land Matters and Landlocked Land</w:t>
            </w:r>
          </w:p>
          <w:p w14:paraId="764ADF11" w14:textId="77777777" w:rsidR="006C04E8" w:rsidRPr="00C55ADB" w:rsidRDefault="006C04E8">
            <w:pPr>
              <w:suppressAutoHyphens w:val="0"/>
              <w:spacing w:before="120" w:after="120"/>
              <w:rPr>
                <w:rFonts w:ascii="Arial" w:hAnsi="Arial" w:cs="Arial"/>
                <w:bCs/>
                <w:sz w:val="22"/>
                <w:szCs w:val="22"/>
              </w:rPr>
            </w:pPr>
            <w:r w:rsidRPr="00C55ADB">
              <w:rPr>
                <w:rFonts w:ascii="Arial" w:hAnsi="Arial" w:cs="Arial"/>
                <w:bCs/>
                <w:sz w:val="22"/>
                <w:szCs w:val="22"/>
              </w:rPr>
              <w:t xml:space="preserve">The report begins with an </w:t>
            </w:r>
            <w:proofErr w:type="gramStart"/>
            <w:r w:rsidRPr="00C55ADB">
              <w:rPr>
                <w:rFonts w:ascii="Arial" w:hAnsi="Arial" w:cs="Arial"/>
                <w:bCs/>
                <w:sz w:val="22"/>
                <w:szCs w:val="22"/>
              </w:rPr>
              <w:t>eight page</w:t>
            </w:r>
            <w:proofErr w:type="gramEnd"/>
            <w:r w:rsidRPr="00C55ADB">
              <w:rPr>
                <w:rFonts w:ascii="Arial" w:hAnsi="Arial" w:cs="Arial"/>
                <w:bCs/>
                <w:sz w:val="22"/>
                <w:szCs w:val="22"/>
              </w:rPr>
              <w:t xml:space="preserve"> discussion on Māori land matters, including a light history of land alienation, the importance of whenua to Māori, and discussion on landlocked land being a significant barrier for social and economic development.  A link to a Waitangi Tribunal report regarding the </w:t>
            </w:r>
            <w:proofErr w:type="spellStart"/>
            <w:r w:rsidRPr="00C55ADB">
              <w:rPr>
                <w:rFonts w:ascii="Arial" w:hAnsi="Arial" w:cs="Arial"/>
                <w:bCs/>
                <w:sz w:val="22"/>
                <w:szCs w:val="22"/>
              </w:rPr>
              <w:t>Taihape</w:t>
            </w:r>
            <w:proofErr w:type="spellEnd"/>
            <w:r w:rsidRPr="00C55ADB">
              <w:rPr>
                <w:rFonts w:ascii="Arial" w:hAnsi="Arial" w:cs="Arial"/>
                <w:bCs/>
                <w:sz w:val="22"/>
                <w:szCs w:val="22"/>
              </w:rPr>
              <w:t xml:space="preserve"> Inquiry (WAI 2180) is made, although most of the discussion is not about the Tribunal – and how well the state is replying to recommendations made in that report is not covered off either.   </w:t>
            </w:r>
          </w:p>
          <w:p w14:paraId="315C850A" w14:textId="77777777" w:rsidR="006C04E8" w:rsidRPr="00C55ADB" w:rsidRDefault="006C04E8">
            <w:pPr>
              <w:suppressAutoHyphens w:val="0"/>
              <w:spacing w:before="120" w:after="120"/>
              <w:rPr>
                <w:rFonts w:ascii="Arial" w:hAnsi="Arial" w:cs="Arial"/>
                <w:bCs/>
                <w:sz w:val="22"/>
                <w:szCs w:val="22"/>
              </w:rPr>
            </w:pPr>
            <w:r w:rsidRPr="00C55ADB">
              <w:rPr>
                <w:rFonts w:ascii="Arial" w:hAnsi="Arial" w:cs="Arial"/>
                <w:bCs/>
                <w:sz w:val="22"/>
                <w:szCs w:val="22"/>
              </w:rPr>
              <w:t xml:space="preserve">We consider this a useful, albeit light and somewhat unevidenced discussion piece.  Yet mostly we were confused about its inclusion in this </w:t>
            </w:r>
            <w:proofErr w:type="gramStart"/>
            <w:r w:rsidRPr="00C55ADB">
              <w:rPr>
                <w:rFonts w:ascii="Arial" w:hAnsi="Arial" w:cs="Arial"/>
                <w:bCs/>
                <w:sz w:val="22"/>
                <w:szCs w:val="22"/>
              </w:rPr>
              <w:t>particular report</w:t>
            </w:r>
            <w:proofErr w:type="gramEnd"/>
            <w:r w:rsidRPr="00C55ADB">
              <w:rPr>
                <w:rFonts w:ascii="Arial" w:hAnsi="Arial" w:cs="Arial"/>
                <w:bCs/>
                <w:sz w:val="22"/>
                <w:szCs w:val="22"/>
              </w:rPr>
              <w:t xml:space="preserve">.  (Reads like something for Te Puni Kōkiri to further develop as a separate policy product, once they have more national data.) </w:t>
            </w:r>
          </w:p>
          <w:p w14:paraId="45689FD5" w14:textId="77777777" w:rsidR="006C04E8" w:rsidRPr="00C55ADB" w:rsidRDefault="006C04E8">
            <w:pPr>
              <w:suppressAutoHyphens w:val="0"/>
              <w:spacing w:before="120" w:after="120"/>
              <w:rPr>
                <w:rFonts w:ascii="Arial" w:hAnsi="Arial" w:cs="Arial"/>
                <w:bCs/>
                <w:sz w:val="22"/>
                <w:szCs w:val="22"/>
              </w:rPr>
            </w:pPr>
          </w:p>
          <w:p w14:paraId="59C887FE" w14:textId="77777777" w:rsidR="006C04E8" w:rsidRPr="00C55ADB" w:rsidRDefault="006C04E8">
            <w:pPr>
              <w:suppressAutoHyphens w:val="0"/>
              <w:spacing w:before="120" w:after="120"/>
              <w:rPr>
                <w:rFonts w:ascii="Arial" w:hAnsi="Arial" w:cs="Arial"/>
                <w:b/>
                <w:bCs/>
                <w:sz w:val="22"/>
                <w:szCs w:val="22"/>
              </w:rPr>
            </w:pPr>
            <w:r w:rsidRPr="00C55ADB">
              <w:rPr>
                <w:rFonts w:ascii="Arial" w:hAnsi="Arial" w:cs="Arial"/>
                <w:b/>
                <w:bCs/>
                <w:sz w:val="22"/>
                <w:szCs w:val="22"/>
              </w:rPr>
              <w:t>Report Proper</w:t>
            </w:r>
          </w:p>
          <w:p w14:paraId="7D15FE66" w14:textId="77777777" w:rsidR="006C04E8" w:rsidRPr="00C55ADB" w:rsidRDefault="006C04E8">
            <w:pPr>
              <w:suppressAutoHyphens w:val="0"/>
              <w:spacing w:before="120" w:after="120"/>
              <w:rPr>
                <w:rFonts w:ascii="Arial" w:hAnsi="Arial" w:cs="Arial"/>
                <w:bCs/>
                <w:sz w:val="22"/>
                <w:szCs w:val="22"/>
              </w:rPr>
            </w:pPr>
            <w:r w:rsidRPr="00C55ADB">
              <w:rPr>
                <w:rFonts w:ascii="Arial" w:hAnsi="Arial" w:cs="Arial"/>
                <w:bCs/>
                <w:sz w:val="22"/>
                <w:szCs w:val="22"/>
              </w:rPr>
              <w:t xml:space="preserve">The report back proper has two sections.  First, a summary write-up of claims which received some attention in the year being reported on (i.e. to 30 June 2024).  In this section, responsible departments appear to be adding text to update their work on claims in their respective domains.  Our read is that 39 items were progressed in one way or another – with three confirmed as completed and a further four partially settled – meaning the rest are items ‘in progress’.  Those completed generally related to iwi mandating processes and challenges.  </w:t>
            </w:r>
          </w:p>
          <w:p w14:paraId="4FCD9B2C" w14:textId="77777777" w:rsidR="006C04E8" w:rsidRPr="00C55ADB" w:rsidRDefault="006C04E8">
            <w:pPr>
              <w:suppressAutoHyphens w:val="0"/>
              <w:spacing w:before="120" w:after="120"/>
              <w:rPr>
                <w:rFonts w:ascii="Arial" w:hAnsi="Arial" w:cs="Arial"/>
                <w:bCs/>
                <w:sz w:val="22"/>
                <w:szCs w:val="22"/>
              </w:rPr>
            </w:pPr>
            <w:r w:rsidRPr="00C55ADB">
              <w:rPr>
                <w:rFonts w:ascii="Arial" w:hAnsi="Arial" w:cs="Arial"/>
                <w:bCs/>
                <w:sz w:val="22"/>
                <w:szCs w:val="22"/>
              </w:rPr>
              <w:t> </w:t>
            </w:r>
          </w:p>
          <w:p w14:paraId="1DC6B43D" w14:textId="77777777" w:rsidR="006C04E8" w:rsidRPr="00C55ADB" w:rsidRDefault="006C04E8">
            <w:pPr>
              <w:suppressAutoHyphens w:val="0"/>
              <w:spacing w:before="120" w:after="120"/>
              <w:rPr>
                <w:rFonts w:ascii="Arial" w:hAnsi="Arial" w:cs="Arial"/>
                <w:bCs/>
                <w:sz w:val="22"/>
                <w:szCs w:val="22"/>
              </w:rPr>
            </w:pPr>
            <w:r w:rsidRPr="00C55ADB">
              <w:rPr>
                <w:rFonts w:ascii="Arial" w:hAnsi="Arial" w:cs="Arial"/>
                <w:bCs/>
                <w:sz w:val="22"/>
                <w:szCs w:val="22"/>
              </w:rPr>
              <w:t xml:space="preserve">This section is the substantial body of the report and </w:t>
            </w:r>
            <w:proofErr w:type="gramStart"/>
            <w:r w:rsidRPr="00C55ADB">
              <w:rPr>
                <w:rFonts w:ascii="Arial" w:hAnsi="Arial" w:cs="Arial"/>
                <w:bCs/>
                <w:sz w:val="22"/>
                <w:szCs w:val="22"/>
              </w:rPr>
              <w:t>all of</w:t>
            </w:r>
            <w:proofErr w:type="gramEnd"/>
            <w:r w:rsidRPr="00C55ADB">
              <w:rPr>
                <w:rFonts w:ascii="Arial" w:hAnsi="Arial" w:cs="Arial"/>
                <w:bCs/>
                <w:sz w:val="22"/>
                <w:szCs w:val="22"/>
              </w:rPr>
              <w:t xml:space="preserve"> the recent big kaupapa claims are discussed – making it a useful reference source on claims.  This includes claim work related to:</w:t>
            </w:r>
          </w:p>
          <w:p w14:paraId="6AFD460C" w14:textId="77777777" w:rsidR="006C04E8" w:rsidRPr="00C55ADB" w:rsidRDefault="006C04E8">
            <w:pPr>
              <w:numPr>
                <w:ilvl w:val="0"/>
                <w:numId w:val="26"/>
              </w:numPr>
              <w:suppressAutoHyphens w:val="0"/>
              <w:spacing w:before="120" w:after="120"/>
              <w:rPr>
                <w:rFonts w:ascii="Arial" w:hAnsi="Arial" w:cs="Arial"/>
                <w:bCs/>
                <w:sz w:val="22"/>
                <w:szCs w:val="22"/>
              </w:rPr>
            </w:pPr>
            <w:r w:rsidRPr="00C55ADB">
              <w:rPr>
                <w:rFonts w:ascii="Arial" w:hAnsi="Arial" w:cs="Arial"/>
                <w:bCs/>
                <w:sz w:val="22"/>
                <w:szCs w:val="22"/>
              </w:rPr>
              <w:t>various social sectors (separate claims relating to justice, reoffending, child welfare, housing, health and education to name a few: refer claims 2540, 2750, 3060, 2015, 2575).</w:t>
            </w:r>
          </w:p>
          <w:p w14:paraId="11753BEA" w14:textId="77777777" w:rsidR="006C04E8" w:rsidRPr="00C55ADB" w:rsidRDefault="006C04E8">
            <w:pPr>
              <w:numPr>
                <w:ilvl w:val="0"/>
                <w:numId w:val="26"/>
              </w:numPr>
              <w:suppressAutoHyphens w:val="0"/>
              <w:spacing w:before="120" w:after="120"/>
              <w:rPr>
                <w:rFonts w:ascii="Arial" w:hAnsi="Arial" w:cs="Arial"/>
                <w:bCs/>
                <w:sz w:val="22"/>
                <w:szCs w:val="22"/>
              </w:rPr>
            </w:pPr>
            <w:r w:rsidRPr="00C55ADB">
              <w:rPr>
                <w:rFonts w:ascii="Arial" w:hAnsi="Arial" w:cs="Arial"/>
                <w:bCs/>
                <w:sz w:val="22"/>
                <w:szCs w:val="22"/>
              </w:rPr>
              <w:t>natural resources (separate claims relating to freshwater and geothermal resources, petroleum: refer claims 2358 and 796</w:t>
            </w:r>
            <w:proofErr w:type="gramStart"/>
            <w:r w:rsidRPr="00C55ADB">
              <w:rPr>
                <w:rFonts w:ascii="Arial" w:hAnsi="Arial" w:cs="Arial"/>
                <w:bCs/>
                <w:sz w:val="22"/>
                <w:szCs w:val="22"/>
              </w:rPr>
              <w:t>);</w:t>
            </w:r>
            <w:proofErr w:type="gramEnd"/>
          </w:p>
          <w:p w14:paraId="598835BB" w14:textId="77777777" w:rsidR="006C04E8" w:rsidRPr="00C55ADB" w:rsidRDefault="006C04E8">
            <w:pPr>
              <w:numPr>
                <w:ilvl w:val="0"/>
                <w:numId w:val="26"/>
              </w:numPr>
              <w:suppressAutoHyphens w:val="0"/>
              <w:spacing w:before="120" w:after="120"/>
              <w:rPr>
                <w:rFonts w:ascii="Arial" w:hAnsi="Arial" w:cs="Arial"/>
                <w:bCs/>
                <w:sz w:val="22"/>
                <w:szCs w:val="22"/>
              </w:rPr>
            </w:pPr>
            <w:r w:rsidRPr="00C55ADB">
              <w:rPr>
                <w:rFonts w:ascii="Arial" w:hAnsi="Arial" w:cs="Arial"/>
                <w:bCs/>
                <w:sz w:val="22"/>
                <w:szCs w:val="22"/>
              </w:rPr>
              <w:t xml:space="preserve">settlements </w:t>
            </w:r>
            <w:proofErr w:type="gramStart"/>
            <w:r w:rsidRPr="00C55ADB">
              <w:rPr>
                <w:rFonts w:ascii="Arial" w:hAnsi="Arial" w:cs="Arial"/>
                <w:bCs/>
                <w:sz w:val="22"/>
                <w:szCs w:val="22"/>
              </w:rPr>
              <w:t>matters</w:t>
            </w:r>
            <w:proofErr w:type="gramEnd"/>
            <w:r w:rsidRPr="00C55ADB">
              <w:rPr>
                <w:rFonts w:ascii="Arial" w:hAnsi="Arial" w:cs="Arial"/>
                <w:bCs/>
                <w:sz w:val="22"/>
                <w:szCs w:val="22"/>
              </w:rPr>
              <w:t xml:space="preserve"> for iwi / large natural groups, including</w:t>
            </w:r>
          </w:p>
          <w:p w14:paraId="598229D6" w14:textId="77777777" w:rsidR="006C04E8" w:rsidRPr="00C55ADB" w:rsidRDefault="006C04E8">
            <w:pPr>
              <w:numPr>
                <w:ilvl w:val="1"/>
                <w:numId w:val="26"/>
              </w:numPr>
              <w:suppressAutoHyphens w:val="0"/>
              <w:spacing w:before="120" w:after="120"/>
              <w:rPr>
                <w:rFonts w:ascii="Arial" w:hAnsi="Arial" w:cs="Arial"/>
                <w:bCs/>
                <w:sz w:val="22"/>
                <w:szCs w:val="22"/>
              </w:rPr>
            </w:pPr>
            <w:r w:rsidRPr="00C55ADB">
              <w:rPr>
                <w:rFonts w:ascii="Arial" w:hAnsi="Arial" w:cs="Arial"/>
                <w:bCs/>
                <w:sz w:val="22"/>
                <w:szCs w:val="22"/>
              </w:rPr>
              <w:t>Central North Island</w:t>
            </w:r>
          </w:p>
          <w:p w14:paraId="718BEDF3" w14:textId="77777777" w:rsidR="006C04E8" w:rsidRPr="00C55ADB" w:rsidRDefault="006C04E8">
            <w:pPr>
              <w:numPr>
                <w:ilvl w:val="1"/>
                <w:numId w:val="26"/>
              </w:numPr>
              <w:suppressAutoHyphens w:val="0"/>
              <w:spacing w:before="120" w:after="120"/>
              <w:rPr>
                <w:rFonts w:ascii="Arial" w:hAnsi="Arial" w:cs="Arial"/>
                <w:bCs/>
                <w:sz w:val="22"/>
                <w:szCs w:val="22"/>
              </w:rPr>
            </w:pPr>
            <w:r w:rsidRPr="00C55ADB">
              <w:rPr>
                <w:rFonts w:ascii="Arial" w:hAnsi="Arial" w:cs="Arial"/>
                <w:bCs/>
                <w:sz w:val="22"/>
                <w:szCs w:val="22"/>
              </w:rPr>
              <w:t>Horowhenua</w:t>
            </w:r>
          </w:p>
          <w:p w14:paraId="2034831B" w14:textId="77777777" w:rsidR="006C04E8" w:rsidRPr="00C55ADB" w:rsidRDefault="006C04E8">
            <w:pPr>
              <w:numPr>
                <w:ilvl w:val="1"/>
                <w:numId w:val="26"/>
              </w:numPr>
              <w:suppressAutoHyphens w:val="0"/>
              <w:spacing w:before="120" w:after="120"/>
              <w:rPr>
                <w:rFonts w:ascii="Arial" w:hAnsi="Arial" w:cs="Arial"/>
                <w:bCs/>
                <w:sz w:val="22"/>
                <w:szCs w:val="22"/>
              </w:rPr>
            </w:pPr>
            <w:proofErr w:type="spellStart"/>
            <w:r w:rsidRPr="00C55ADB">
              <w:rPr>
                <w:rFonts w:ascii="Arial" w:hAnsi="Arial" w:cs="Arial"/>
                <w:bCs/>
                <w:sz w:val="22"/>
                <w:szCs w:val="22"/>
              </w:rPr>
              <w:t>Muriwhenua</w:t>
            </w:r>
            <w:proofErr w:type="spellEnd"/>
          </w:p>
          <w:p w14:paraId="19967828" w14:textId="77777777" w:rsidR="006C04E8" w:rsidRPr="00C55ADB" w:rsidRDefault="006C04E8">
            <w:pPr>
              <w:numPr>
                <w:ilvl w:val="1"/>
                <w:numId w:val="26"/>
              </w:numPr>
              <w:suppressAutoHyphens w:val="0"/>
              <w:spacing w:before="120" w:after="120"/>
              <w:rPr>
                <w:rFonts w:ascii="Arial" w:hAnsi="Arial" w:cs="Arial"/>
                <w:bCs/>
                <w:sz w:val="22"/>
                <w:szCs w:val="22"/>
              </w:rPr>
            </w:pPr>
            <w:r w:rsidRPr="00C55ADB">
              <w:rPr>
                <w:rFonts w:ascii="Arial" w:hAnsi="Arial" w:cs="Arial"/>
                <w:bCs/>
                <w:sz w:val="22"/>
                <w:szCs w:val="22"/>
              </w:rPr>
              <w:t>Taranaki</w:t>
            </w:r>
          </w:p>
          <w:p w14:paraId="3C8C45BD" w14:textId="77777777" w:rsidR="006C04E8" w:rsidRPr="00C55ADB" w:rsidRDefault="006C04E8">
            <w:pPr>
              <w:numPr>
                <w:ilvl w:val="1"/>
                <w:numId w:val="26"/>
              </w:numPr>
              <w:suppressAutoHyphens w:val="0"/>
              <w:spacing w:before="120" w:after="120"/>
              <w:rPr>
                <w:rFonts w:ascii="Arial" w:hAnsi="Arial" w:cs="Arial"/>
                <w:bCs/>
                <w:sz w:val="22"/>
                <w:szCs w:val="22"/>
              </w:rPr>
            </w:pPr>
            <w:r w:rsidRPr="00C55ADB">
              <w:rPr>
                <w:rFonts w:ascii="Arial" w:hAnsi="Arial" w:cs="Arial"/>
                <w:bCs/>
                <w:sz w:val="22"/>
                <w:szCs w:val="22"/>
              </w:rPr>
              <w:t>Tauranga</w:t>
            </w:r>
          </w:p>
          <w:p w14:paraId="6C5C27C5" w14:textId="77777777" w:rsidR="006C04E8" w:rsidRPr="00C55ADB" w:rsidRDefault="006C04E8">
            <w:pPr>
              <w:numPr>
                <w:ilvl w:val="1"/>
                <w:numId w:val="26"/>
              </w:numPr>
              <w:suppressAutoHyphens w:val="0"/>
              <w:spacing w:before="120" w:after="120"/>
              <w:rPr>
                <w:rFonts w:ascii="Arial" w:hAnsi="Arial" w:cs="Arial"/>
                <w:bCs/>
                <w:sz w:val="22"/>
                <w:szCs w:val="22"/>
              </w:rPr>
            </w:pPr>
            <w:r w:rsidRPr="00C55ADB">
              <w:rPr>
                <w:rFonts w:ascii="Arial" w:hAnsi="Arial" w:cs="Arial"/>
                <w:bCs/>
                <w:sz w:val="22"/>
                <w:szCs w:val="22"/>
              </w:rPr>
              <w:t xml:space="preserve">Te </w:t>
            </w:r>
            <w:proofErr w:type="spellStart"/>
            <w:r w:rsidRPr="00C55ADB">
              <w:rPr>
                <w:rFonts w:ascii="Arial" w:hAnsi="Arial" w:cs="Arial"/>
                <w:bCs/>
                <w:sz w:val="22"/>
                <w:szCs w:val="22"/>
              </w:rPr>
              <w:t>Paparahi</w:t>
            </w:r>
            <w:proofErr w:type="spellEnd"/>
            <w:r w:rsidRPr="00C55ADB">
              <w:rPr>
                <w:rFonts w:ascii="Arial" w:hAnsi="Arial" w:cs="Arial"/>
                <w:bCs/>
                <w:sz w:val="22"/>
                <w:szCs w:val="22"/>
              </w:rPr>
              <w:t xml:space="preserve"> o Te Raki</w:t>
            </w:r>
          </w:p>
          <w:p w14:paraId="266E8EAE" w14:textId="77777777" w:rsidR="006C04E8" w:rsidRPr="00C55ADB" w:rsidRDefault="006C04E8">
            <w:pPr>
              <w:numPr>
                <w:ilvl w:val="1"/>
                <w:numId w:val="26"/>
              </w:numPr>
              <w:suppressAutoHyphens w:val="0"/>
              <w:spacing w:before="120" w:after="120"/>
              <w:rPr>
                <w:rFonts w:ascii="Arial" w:hAnsi="Arial" w:cs="Arial"/>
                <w:bCs/>
                <w:sz w:val="22"/>
                <w:szCs w:val="22"/>
              </w:rPr>
            </w:pPr>
            <w:r w:rsidRPr="00C55ADB">
              <w:rPr>
                <w:rFonts w:ascii="Arial" w:hAnsi="Arial" w:cs="Arial"/>
                <w:bCs/>
                <w:sz w:val="22"/>
                <w:szCs w:val="22"/>
              </w:rPr>
              <w:t>Waikanae; and</w:t>
            </w:r>
          </w:p>
          <w:p w14:paraId="7A646214" w14:textId="77777777" w:rsidR="006C04E8" w:rsidRPr="00C55ADB" w:rsidRDefault="006C04E8">
            <w:pPr>
              <w:numPr>
                <w:ilvl w:val="1"/>
                <w:numId w:val="26"/>
              </w:numPr>
              <w:suppressAutoHyphens w:val="0"/>
              <w:spacing w:before="120" w:after="120"/>
              <w:rPr>
                <w:rFonts w:ascii="Arial" w:hAnsi="Arial" w:cs="Arial"/>
                <w:bCs/>
                <w:sz w:val="22"/>
                <w:szCs w:val="22"/>
              </w:rPr>
            </w:pPr>
            <w:r w:rsidRPr="00C55ADB">
              <w:rPr>
                <w:rFonts w:ascii="Arial" w:hAnsi="Arial" w:cs="Arial"/>
                <w:bCs/>
                <w:sz w:val="22"/>
                <w:szCs w:val="22"/>
              </w:rPr>
              <w:t>Wellington</w:t>
            </w:r>
          </w:p>
          <w:p w14:paraId="7813944B" w14:textId="77777777" w:rsidR="006C04E8" w:rsidRPr="00C55ADB" w:rsidRDefault="006C04E8">
            <w:pPr>
              <w:numPr>
                <w:ilvl w:val="1"/>
                <w:numId w:val="26"/>
              </w:numPr>
              <w:suppressAutoHyphens w:val="0"/>
              <w:spacing w:before="120" w:after="120"/>
              <w:rPr>
                <w:rFonts w:ascii="Arial" w:hAnsi="Arial" w:cs="Arial"/>
                <w:bCs/>
                <w:sz w:val="22"/>
                <w:szCs w:val="22"/>
              </w:rPr>
            </w:pPr>
            <w:proofErr w:type="gramStart"/>
            <w:r w:rsidRPr="00C55ADB">
              <w:rPr>
                <w:rFonts w:ascii="Arial" w:hAnsi="Arial" w:cs="Arial"/>
                <w:bCs/>
                <w:sz w:val="22"/>
                <w:szCs w:val="22"/>
              </w:rPr>
              <w:t>Whakatōhea;</w:t>
            </w:r>
            <w:proofErr w:type="gramEnd"/>
          </w:p>
          <w:p w14:paraId="222D0B57" w14:textId="77777777" w:rsidR="006C04E8" w:rsidRPr="00C55ADB" w:rsidRDefault="006C04E8">
            <w:pPr>
              <w:numPr>
                <w:ilvl w:val="1"/>
                <w:numId w:val="26"/>
              </w:numPr>
              <w:suppressAutoHyphens w:val="0"/>
              <w:spacing w:before="120" w:after="120"/>
              <w:rPr>
                <w:rFonts w:ascii="Arial" w:hAnsi="Arial" w:cs="Arial"/>
                <w:bCs/>
                <w:sz w:val="22"/>
                <w:szCs w:val="22"/>
              </w:rPr>
            </w:pPr>
            <w:r w:rsidRPr="00C55ADB">
              <w:rPr>
                <w:rFonts w:ascii="Arial" w:hAnsi="Arial" w:cs="Arial"/>
                <w:bCs/>
                <w:sz w:val="22"/>
                <w:szCs w:val="22"/>
              </w:rPr>
              <w:t>Whanganui</w:t>
            </w:r>
          </w:p>
          <w:p w14:paraId="3518D974" w14:textId="77777777" w:rsidR="006C04E8" w:rsidRPr="00C55ADB" w:rsidRDefault="006C04E8">
            <w:pPr>
              <w:suppressAutoHyphens w:val="0"/>
              <w:spacing w:before="120" w:after="120"/>
              <w:rPr>
                <w:rFonts w:ascii="Arial" w:hAnsi="Arial" w:cs="Arial"/>
                <w:bCs/>
                <w:sz w:val="22"/>
                <w:szCs w:val="22"/>
              </w:rPr>
            </w:pPr>
            <w:r w:rsidRPr="00C55ADB">
              <w:rPr>
                <w:rFonts w:ascii="Arial" w:hAnsi="Arial" w:cs="Arial"/>
                <w:bCs/>
                <w:sz w:val="22"/>
                <w:szCs w:val="22"/>
              </w:rPr>
              <w:t xml:space="preserve">In each of these areas, activities to the end of June 2024 are noted.  The largest discussion relates to WAI 262 – the original flora and fauna claim that morphed into a wider report on mātauranga and associated topics (Pānui 8 July 2011 refers).  The second section is </w:t>
            </w:r>
            <w:proofErr w:type="gramStart"/>
            <w:r w:rsidRPr="00C55ADB">
              <w:rPr>
                <w:rFonts w:ascii="Arial" w:hAnsi="Arial" w:cs="Arial"/>
                <w:bCs/>
                <w:sz w:val="22"/>
                <w:szCs w:val="22"/>
              </w:rPr>
              <w:t>6 page</w:t>
            </w:r>
            <w:proofErr w:type="gramEnd"/>
            <w:r w:rsidRPr="00C55ADB">
              <w:rPr>
                <w:rFonts w:ascii="Arial" w:hAnsi="Arial" w:cs="Arial"/>
                <w:bCs/>
                <w:sz w:val="22"/>
                <w:szCs w:val="22"/>
              </w:rPr>
              <w:t xml:space="preserve"> list of all claims from 1978 onwards, noting the claim year and the </w:t>
            </w:r>
            <w:proofErr w:type="gramStart"/>
            <w:r w:rsidRPr="00C55ADB">
              <w:rPr>
                <w:rFonts w:ascii="Arial" w:hAnsi="Arial" w:cs="Arial"/>
                <w:bCs/>
                <w:sz w:val="22"/>
                <w:szCs w:val="22"/>
              </w:rPr>
              <w:t>current status</w:t>
            </w:r>
            <w:proofErr w:type="gramEnd"/>
            <w:r w:rsidRPr="00C55ADB">
              <w:rPr>
                <w:rFonts w:ascii="Arial" w:hAnsi="Arial" w:cs="Arial"/>
                <w:bCs/>
                <w:sz w:val="22"/>
                <w:szCs w:val="22"/>
              </w:rPr>
              <w:t>.  According to the list, the Government believes its overall result is:</w:t>
            </w:r>
          </w:p>
          <w:tbl>
            <w:tblPr>
              <w:tblW w:w="6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
              <w:tblDescription w:val=""/>
            </w:tblPr>
            <w:tblGrid>
              <w:gridCol w:w="4685"/>
              <w:gridCol w:w="992"/>
              <w:gridCol w:w="1260"/>
            </w:tblGrid>
            <w:tr w:rsidR="006C04E8" w:rsidRPr="00C55ADB" w14:paraId="189C177E" w14:textId="77777777">
              <w:tc>
                <w:tcPr>
                  <w:tcW w:w="4685" w:type="dxa"/>
                  <w:tcMar>
                    <w:top w:w="80" w:type="dxa"/>
                    <w:left w:w="80" w:type="dxa"/>
                    <w:bottom w:w="80" w:type="dxa"/>
                    <w:right w:w="80" w:type="dxa"/>
                  </w:tcMar>
                  <w:hideMark/>
                </w:tcPr>
                <w:p w14:paraId="155B109C" w14:textId="77777777" w:rsidR="006C04E8" w:rsidRPr="00C55ADB" w:rsidRDefault="006C04E8">
                  <w:pPr>
                    <w:pStyle w:val="BodyText"/>
                    <w:spacing w:after="0"/>
                    <w:rPr>
                      <w:rFonts w:asciiTheme="majorHAnsi" w:hAnsiTheme="majorHAnsi"/>
                      <w:sz w:val="22"/>
                      <w:szCs w:val="22"/>
                    </w:rPr>
                  </w:pPr>
                  <w:r w:rsidRPr="00C55ADB">
                    <w:rPr>
                      <w:rFonts w:asciiTheme="majorHAnsi" w:hAnsiTheme="majorHAnsi"/>
                      <w:b/>
                      <w:bCs/>
                      <w:sz w:val="22"/>
                      <w:szCs w:val="22"/>
                    </w:rPr>
                    <w:t>Waitangi Tribunal Claim Status</w:t>
                  </w:r>
                </w:p>
              </w:tc>
              <w:tc>
                <w:tcPr>
                  <w:tcW w:w="992" w:type="dxa"/>
                  <w:tcMar>
                    <w:top w:w="80" w:type="dxa"/>
                    <w:left w:w="80" w:type="dxa"/>
                    <w:bottom w:w="80" w:type="dxa"/>
                    <w:right w:w="80" w:type="dxa"/>
                  </w:tcMar>
                  <w:hideMark/>
                </w:tcPr>
                <w:p w14:paraId="6198DF80" w14:textId="77777777" w:rsidR="006C04E8" w:rsidRPr="00C55ADB" w:rsidRDefault="006C04E8">
                  <w:pPr>
                    <w:pStyle w:val="BodyText"/>
                    <w:spacing w:after="0"/>
                    <w:rPr>
                      <w:rFonts w:asciiTheme="majorHAnsi" w:hAnsiTheme="majorHAnsi"/>
                      <w:sz w:val="22"/>
                      <w:szCs w:val="22"/>
                    </w:rPr>
                  </w:pPr>
                  <w:r w:rsidRPr="00C55ADB">
                    <w:rPr>
                      <w:rFonts w:asciiTheme="majorHAnsi" w:hAnsiTheme="majorHAnsi"/>
                      <w:b/>
                      <w:bCs/>
                      <w:sz w:val="22"/>
                      <w:szCs w:val="22"/>
                    </w:rPr>
                    <w:t>No.</w:t>
                  </w:r>
                </w:p>
              </w:tc>
              <w:tc>
                <w:tcPr>
                  <w:tcW w:w="1260" w:type="dxa"/>
                  <w:tcMar>
                    <w:top w:w="80" w:type="dxa"/>
                    <w:left w:w="80" w:type="dxa"/>
                    <w:bottom w:w="80" w:type="dxa"/>
                    <w:right w:w="80" w:type="dxa"/>
                  </w:tcMar>
                  <w:hideMark/>
                </w:tcPr>
                <w:p w14:paraId="40C31F7F" w14:textId="77777777" w:rsidR="006C04E8" w:rsidRPr="00C55ADB" w:rsidRDefault="006C04E8">
                  <w:pPr>
                    <w:pStyle w:val="BodyText"/>
                    <w:spacing w:after="0"/>
                    <w:rPr>
                      <w:rFonts w:asciiTheme="majorHAnsi" w:hAnsiTheme="majorHAnsi"/>
                      <w:sz w:val="22"/>
                      <w:szCs w:val="22"/>
                    </w:rPr>
                  </w:pPr>
                  <w:r w:rsidRPr="00C55ADB">
                    <w:rPr>
                      <w:rFonts w:asciiTheme="majorHAnsi" w:hAnsiTheme="majorHAnsi"/>
                      <w:b/>
                      <w:bCs/>
                      <w:sz w:val="22"/>
                      <w:szCs w:val="22"/>
                    </w:rPr>
                    <w:t>%</w:t>
                  </w:r>
                </w:p>
              </w:tc>
            </w:tr>
            <w:tr w:rsidR="006C04E8" w:rsidRPr="00C55ADB" w14:paraId="6DD7A661" w14:textId="77777777">
              <w:tc>
                <w:tcPr>
                  <w:tcW w:w="4685" w:type="dxa"/>
                  <w:tcMar>
                    <w:top w:w="80" w:type="dxa"/>
                    <w:left w:w="80" w:type="dxa"/>
                    <w:bottom w:w="80" w:type="dxa"/>
                    <w:right w:w="80" w:type="dxa"/>
                  </w:tcMar>
                  <w:hideMark/>
                </w:tcPr>
                <w:p w14:paraId="373DF3C6" w14:textId="77777777" w:rsidR="006C04E8" w:rsidRPr="00C55ADB" w:rsidRDefault="006C04E8">
                  <w:pPr>
                    <w:pStyle w:val="BodyText"/>
                    <w:spacing w:after="0"/>
                    <w:rPr>
                      <w:rFonts w:asciiTheme="majorHAnsi" w:hAnsiTheme="majorHAnsi"/>
                      <w:sz w:val="22"/>
                      <w:szCs w:val="22"/>
                    </w:rPr>
                  </w:pPr>
                  <w:r w:rsidRPr="00C55ADB">
                    <w:rPr>
                      <w:rFonts w:asciiTheme="majorHAnsi" w:hAnsiTheme="majorHAnsi"/>
                      <w:sz w:val="22"/>
                      <w:szCs w:val="22"/>
                    </w:rPr>
                    <w:t>No further action needed</w:t>
                  </w:r>
                </w:p>
              </w:tc>
              <w:tc>
                <w:tcPr>
                  <w:tcW w:w="992" w:type="dxa"/>
                  <w:tcMar>
                    <w:top w:w="80" w:type="dxa"/>
                    <w:left w:w="80" w:type="dxa"/>
                    <w:bottom w:w="80" w:type="dxa"/>
                    <w:right w:w="80" w:type="dxa"/>
                  </w:tcMar>
                  <w:hideMark/>
                </w:tcPr>
                <w:p w14:paraId="5EBDB2D8" w14:textId="77777777" w:rsidR="006C04E8" w:rsidRPr="00C55ADB" w:rsidRDefault="006C04E8">
                  <w:pPr>
                    <w:pStyle w:val="BodyText"/>
                    <w:spacing w:after="0"/>
                    <w:rPr>
                      <w:rFonts w:asciiTheme="majorHAnsi" w:hAnsiTheme="majorHAnsi"/>
                      <w:sz w:val="22"/>
                      <w:szCs w:val="22"/>
                    </w:rPr>
                  </w:pPr>
                  <w:r w:rsidRPr="00C55ADB">
                    <w:rPr>
                      <w:rFonts w:asciiTheme="majorHAnsi" w:hAnsiTheme="majorHAnsi"/>
                      <w:sz w:val="22"/>
                      <w:szCs w:val="22"/>
                    </w:rPr>
                    <w:t>23</w:t>
                  </w:r>
                </w:p>
              </w:tc>
              <w:tc>
                <w:tcPr>
                  <w:tcW w:w="1260" w:type="dxa"/>
                  <w:tcMar>
                    <w:top w:w="80" w:type="dxa"/>
                    <w:left w:w="80" w:type="dxa"/>
                    <w:bottom w:w="80" w:type="dxa"/>
                    <w:right w:w="80" w:type="dxa"/>
                  </w:tcMar>
                  <w:hideMark/>
                </w:tcPr>
                <w:p w14:paraId="2E82DFFD" w14:textId="77777777" w:rsidR="006C04E8" w:rsidRPr="00C55ADB" w:rsidRDefault="006C04E8">
                  <w:pPr>
                    <w:pStyle w:val="BodyText"/>
                    <w:spacing w:after="0"/>
                    <w:rPr>
                      <w:rFonts w:asciiTheme="majorHAnsi" w:hAnsiTheme="majorHAnsi"/>
                      <w:sz w:val="22"/>
                      <w:szCs w:val="22"/>
                    </w:rPr>
                  </w:pPr>
                  <w:r w:rsidRPr="00C55ADB">
                    <w:rPr>
                      <w:rFonts w:asciiTheme="majorHAnsi" w:hAnsiTheme="majorHAnsi"/>
                      <w:sz w:val="22"/>
                      <w:szCs w:val="22"/>
                    </w:rPr>
                    <w:t>15%</w:t>
                  </w:r>
                </w:p>
              </w:tc>
            </w:tr>
            <w:tr w:rsidR="006C04E8" w:rsidRPr="00C55ADB" w14:paraId="039635D4" w14:textId="77777777">
              <w:tc>
                <w:tcPr>
                  <w:tcW w:w="4685" w:type="dxa"/>
                  <w:tcMar>
                    <w:top w:w="80" w:type="dxa"/>
                    <w:left w:w="80" w:type="dxa"/>
                    <w:bottom w:w="80" w:type="dxa"/>
                    <w:right w:w="80" w:type="dxa"/>
                  </w:tcMar>
                  <w:hideMark/>
                </w:tcPr>
                <w:p w14:paraId="0516BD4B" w14:textId="77777777" w:rsidR="006C04E8" w:rsidRPr="00C55ADB" w:rsidRDefault="006C04E8">
                  <w:pPr>
                    <w:pStyle w:val="BodyText"/>
                    <w:spacing w:after="0"/>
                    <w:rPr>
                      <w:rFonts w:asciiTheme="majorHAnsi" w:hAnsiTheme="majorHAnsi"/>
                      <w:sz w:val="22"/>
                      <w:szCs w:val="22"/>
                    </w:rPr>
                  </w:pPr>
                  <w:r w:rsidRPr="00C55ADB">
                    <w:rPr>
                      <w:rFonts w:asciiTheme="majorHAnsi" w:hAnsiTheme="majorHAnsi"/>
                      <w:sz w:val="22"/>
                      <w:szCs w:val="22"/>
                    </w:rPr>
                    <w:t>Recommendations in progress</w:t>
                  </w:r>
                </w:p>
              </w:tc>
              <w:tc>
                <w:tcPr>
                  <w:tcW w:w="992" w:type="dxa"/>
                  <w:tcMar>
                    <w:top w:w="80" w:type="dxa"/>
                    <w:left w:w="80" w:type="dxa"/>
                    <w:bottom w:w="80" w:type="dxa"/>
                    <w:right w:w="80" w:type="dxa"/>
                  </w:tcMar>
                  <w:hideMark/>
                </w:tcPr>
                <w:p w14:paraId="5468A902" w14:textId="77777777" w:rsidR="006C04E8" w:rsidRPr="00C55ADB" w:rsidRDefault="006C04E8">
                  <w:pPr>
                    <w:pStyle w:val="BodyText"/>
                    <w:spacing w:after="0"/>
                    <w:rPr>
                      <w:rFonts w:asciiTheme="majorHAnsi" w:hAnsiTheme="majorHAnsi"/>
                      <w:sz w:val="22"/>
                      <w:szCs w:val="22"/>
                    </w:rPr>
                  </w:pPr>
                  <w:r w:rsidRPr="00C55ADB">
                    <w:rPr>
                      <w:rFonts w:asciiTheme="majorHAnsi" w:hAnsiTheme="majorHAnsi"/>
                      <w:sz w:val="22"/>
                      <w:szCs w:val="22"/>
                    </w:rPr>
                    <w:t>5</w:t>
                  </w:r>
                </w:p>
              </w:tc>
              <w:tc>
                <w:tcPr>
                  <w:tcW w:w="1260" w:type="dxa"/>
                  <w:tcMar>
                    <w:top w:w="80" w:type="dxa"/>
                    <w:left w:w="80" w:type="dxa"/>
                    <w:bottom w:w="80" w:type="dxa"/>
                    <w:right w:w="80" w:type="dxa"/>
                  </w:tcMar>
                  <w:hideMark/>
                </w:tcPr>
                <w:p w14:paraId="4E28857F" w14:textId="77777777" w:rsidR="006C04E8" w:rsidRPr="00C55ADB" w:rsidRDefault="006C04E8">
                  <w:pPr>
                    <w:pStyle w:val="BodyText"/>
                    <w:spacing w:after="0"/>
                    <w:rPr>
                      <w:rFonts w:asciiTheme="majorHAnsi" w:hAnsiTheme="majorHAnsi"/>
                      <w:sz w:val="22"/>
                      <w:szCs w:val="22"/>
                    </w:rPr>
                  </w:pPr>
                  <w:r w:rsidRPr="00C55ADB">
                    <w:rPr>
                      <w:rFonts w:asciiTheme="majorHAnsi" w:hAnsiTheme="majorHAnsi"/>
                      <w:sz w:val="22"/>
                      <w:szCs w:val="22"/>
                    </w:rPr>
                    <w:t>3%</w:t>
                  </w:r>
                </w:p>
              </w:tc>
            </w:tr>
            <w:tr w:rsidR="006C04E8" w:rsidRPr="00C55ADB" w14:paraId="44967AD2" w14:textId="77777777">
              <w:tc>
                <w:tcPr>
                  <w:tcW w:w="4685" w:type="dxa"/>
                  <w:tcMar>
                    <w:top w:w="80" w:type="dxa"/>
                    <w:left w:w="80" w:type="dxa"/>
                    <w:bottom w:w="80" w:type="dxa"/>
                    <w:right w:w="80" w:type="dxa"/>
                  </w:tcMar>
                  <w:hideMark/>
                </w:tcPr>
                <w:p w14:paraId="349BAD94" w14:textId="77777777" w:rsidR="006C04E8" w:rsidRPr="00C55ADB" w:rsidRDefault="006C04E8">
                  <w:pPr>
                    <w:pStyle w:val="BodyText"/>
                    <w:spacing w:after="0"/>
                    <w:rPr>
                      <w:rFonts w:asciiTheme="majorHAnsi" w:hAnsiTheme="majorHAnsi"/>
                      <w:sz w:val="22"/>
                      <w:szCs w:val="22"/>
                    </w:rPr>
                  </w:pPr>
                  <w:r w:rsidRPr="00C55ADB">
                    <w:rPr>
                      <w:rFonts w:asciiTheme="majorHAnsi" w:hAnsiTheme="majorHAnsi"/>
                      <w:sz w:val="22"/>
                      <w:szCs w:val="22"/>
                    </w:rPr>
                    <w:t>Settled claims</w:t>
                  </w:r>
                </w:p>
              </w:tc>
              <w:tc>
                <w:tcPr>
                  <w:tcW w:w="992" w:type="dxa"/>
                  <w:tcMar>
                    <w:top w:w="80" w:type="dxa"/>
                    <w:left w:w="80" w:type="dxa"/>
                    <w:bottom w:w="80" w:type="dxa"/>
                    <w:right w:w="80" w:type="dxa"/>
                  </w:tcMar>
                  <w:hideMark/>
                </w:tcPr>
                <w:p w14:paraId="535EDD02" w14:textId="77777777" w:rsidR="006C04E8" w:rsidRPr="00C55ADB" w:rsidRDefault="006C04E8">
                  <w:pPr>
                    <w:pStyle w:val="BodyText"/>
                    <w:spacing w:after="0"/>
                    <w:rPr>
                      <w:rFonts w:asciiTheme="majorHAnsi" w:hAnsiTheme="majorHAnsi"/>
                      <w:sz w:val="22"/>
                      <w:szCs w:val="22"/>
                    </w:rPr>
                  </w:pPr>
                  <w:r w:rsidRPr="00C55ADB">
                    <w:rPr>
                      <w:rFonts w:asciiTheme="majorHAnsi" w:hAnsiTheme="majorHAnsi"/>
                      <w:sz w:val="22"/>
                      <w:szCs w:val="22"/>
                    </w:rPr>
                    <w:t>49</w:t>
                  </w:r>
                </w:p>
              </w:tc>
              <w:tc>
                <w:tcPr>
                  <w:tcW w:w="1260" w:type="dxa"/>
                  <w:tcMar>
                    <w:top w:w="80" w:type="dxa"/>
                    <w:left w:w="80" w:type="dxa"/>
                    <w:bottom w:w="80" w:type="dxa"/>
                    <w:right w:w="80" w:type="dxa"/>
                  </w:tcMar>
                  <w:hideMark/>
                </w:tcPr>
                <w:p w14:paraId="7951722F" w14:textId="77777777" w:rsidR="006C04E8" w:rsidRPr="00C55ADB" w:rsidRDefault="006C04E8">
                  <w:pPr>
                    <w:pStyle w:val="BodyText"/>
                    <w:spacing w:after="0"/>
                    <w:rPr>
                      <w:rFonts w:asciiTheme="majorHAnsi" w:hAnsiTheme="majorHAnsi"/>
                      <w:sz w:val="22"/>
                      <w:szCs w:val="22"/>
                    </w:rPr>
                  </w:pPr>
                  <w:r w:rsidRPr="00C55ADB">
                    <w:rPr>
                      <w:rFonts w:asciiTheme="majorHAnsi" w:hAnsiTheme="majorHAnsi"/>
                      <w:sz w:val="22"/>
                      <w:szCs w:val="22"/>
                    </w:rPr>
                    <w:t>32%</w:t>
                  </w:r>
                </w:p>
              </w:tc>
            </w:tr>
            <w:tr w:rsidR="006C04E8" w:rsidRPr="00C55ADB" w14:paraId="0A84302D" w14:textId="77777777">
              <w:tc>
                <w:tcPr>
                  <w:tcW w:w="4685" w:type="dxa"/>
                  <w:tcMar>
                    <w:top w:w="80" w:type="dxa"/>
                    <w:left w:w="80" w:type="dxa"/>
                    <w:bottom w:w="80" w:type="dxa"/>
                    <w:right w:w="80" w:type="dxa"/>
                  </w:tcMar>
                  <w:hideMark/>
                </w:tcPr>
                <w:p w14:paraId="5BF2ACF8" w14:textId="77777777" w:rsidR="006C04E8" w:rsidRPr="00C55ADB" w:rsidRDefault="006C04E8">
                  <w:pPr>
                    <w:pStyle w:val="BodyText"/>
                    <w:spacing w:after="0"/>
                    <w:rPr>
                      <w:rFonts w:asciiTheme="majorHAnsi" w:hAnsiTheme="majorHAnsi"/>
                      <w:sz w:val="22"/>
                      <w:szCs w:val="22"/>
                    </w:rPr>
                  </w:pPr>
                  <w:r w:rsidRPr="00C55ADB">
                    <w:rPr>
                      <w:rFonts w:asciiTheme="majorHAnsi" w:hAnsiTheme="majorHAnsi"/>
                      <w:sz w:val="22"/>
                      <w:szCs w:val="22"/>
                    </w:rPr>
                    <w:t>Partially settled claims</w:t>
                  </w:r>
                </w:p>
              </w:tc>
              <w:tc>
                <w:tcPr>
                  <w:tcW w:w="992" w:type="dxa"/>
                  <w:tcMar>
                    <w:top w:w="80" w:type="dxa"/>
                    <w:left w:w="80" w:type="dxa"/>
                    <w:bottom w:w="80" w:type="dxa"/>
                    <w:right w:w="80" w:type="dxa"/>
                  </w:tcMar>
                  <w:hideMark/>
                </w:tcPr>
                <w:p w14:paraId="07E28867" w14:textId="77777777" w:rsidR="006C04E8" w:rsidRPr="00C55ADB" w:rsidRDefault="006C04E8">
                  <w:pPr>
                    <w:pStyle w:val="BodyText"/>
                    <w:spacing w:after="0"/>
                    <w:rPr>
                      <w:rFonts w:asciiTheme="majorHAnsi" w:hAnsiTheme="majorHAnsi"/>
                      <w:sz w:val="22"/>
                      <w:szCs w:val="22"/>
                    </w:rPr>
                  </w:pPr>
                  <w:r w:rsidRPr="00C55ADB">
                    <w:rPr>
                      <w:rFonts w:asciiTheme="majorHAnsi" w:hAnsiTheme="majorHAnsi"/>
                      <w:sz w:val="22"/>
                      <w:szCs w:val="22"/>
                    </w:rPr>
                    <w:t>10</w:t>
                  </w:r>
                </w:p>
              </w:tc>
              <w:tc>
                <w:tcPr>
                  <w:tcW w:w="1260" w:type="dxa"/>
                  <w:tcMar>
                    <w:top w:w="80" w:type="dxa"/>
                    <w:left w:w="80" w:type="dxa"/>
                    <w:bottom w:w="80" w:type="dxa"/>
                    <w:right w:w="80" w:type="dxa"/>
                  </w:tcMar>
                  <w:hideMark/>
                </w:tcPr>
                <w:p w14:paraId="189796E3" w14:textId="77777777" w:rsidR="006C04E8" w:rsidRPr="00C55ADB" w:rsidRDefault="006C04E8">
                  <w:pPr>
                    <w:pStyle w:val="BodyText"/>
                    <w:spacing w:after="0"/>
                    <w:rPr>
                      <w:rFonts w:asciiTheme="majorHAnsi" w:hAnsiTheme="majorHAnsi"/>
                      <w:sz w:val="22"/>
                      <w:szCs w:val="22"/>
                    </w:rPr>
                  </w:pPr>
                  <w:r w:rsidRPr="00C55ADB">
                    <w:rPr>
                      <w:rFonts w:asciiTheme="majorHAnsi" w:hAnsiTheme="majorHAnsi"/>
                      <w:sz w:val="22"/>
                      <w:szCs w:val="22"/>
                    </w:rPr>
                    <w:t>7%</w:t>
                  </w:r>
                </w:p>
              </w:tc>
            </w:tr>
            <w:tr w:rsidR="006C04E8" w:rsidRPr="00C55ADB" w14:paraId="3837881D" w14:textId="77777777">
              <w:tc>
                <w:tcPr>
                  <w:tcW w:w="4685" w:type="dxa"/>
                  <w:tcMar>
                    <w:top w:w="80" w:type="dxa"/>
                    <w:left w:w="80" w:type="dxa"/>
                    <w:bottom w:w="80" w:type="dxa"/>
                    <w:right w:w="80" w:type="dxa"/>
                  </w:tcMar>
                  <w:hideMark/>
                </w:tcPr>
                <w:p w14:paraId="0C38DA2F" w14:textId="77777777" w:rsidR="006C04E8" w:rsidRPr="00C55ADB" w:rsidRDefault="006C04E8">
                  <w:pPr>
                    <w:pStyle w:val="BodyText"/>
                    <w:spacing w:after="0"/>
                    <w:rPr>
                      <w:rFonts w:asciiTheme="majorHAnsi" w:hAnsiTheme="majorHAnsi"/>
                      <w:sz w:val="22"/>
                      <w:szCs w:val="22"/>
                    </w:rPr>
                  </w:pPr>
                  <w:r w:rsidRPr="00C55ADB">
                    <w:rPr>
                      <w:rFonts w:asciiTheme="majorHAnsi" w:hAnsiTheme="majorHAnsi"/>
                      <w:sz w:val="22"/>
                      <w:szCs w:val="22"/>
                    </w:rPr>
                    <w:t>Claims that are ongoing</w:t>
                  </w:r>
                </w:p>
              </w:tc>
              <w:tc>
                <w:tcPr>
                  <w:tcW w:w="992" w:type="dxa"/>
                  <w:tcMar>
                    <w:top w:w="80" w:type="dxa"/>
                    <w:left w:w="80" w:type="dxa"/>
                    <w:bottom w:w="80" w:type="dxa"/>
                    <w:right w:w="80" w:type="dxa"/>
                  </w:tcMar>
                  <w:hideMark/>
                </w:tcPr>
                <w:p w14:paraId="7C16FA83" w14:textId="77777777" w:rsidR="006C04E8" w:rsidRPr="00C55ADB" w:rsidRDefault="006C04E8">
                  <w:pPr>
                    <w:pStyle w:val="BodyText"/>
                    <w:spacing w:after="0"/>
                    <w:rPr>
                      <w:rFonts w:asciiTheme="majorHAnsi" w:hAnsiTheme="majorHAnsi"/>
                      <w:sz w:val="22"/>
                      <w:szCs w:val="22"/>
                    </w:rPr>
                  </w:pPr>
                  <w:r w:rsidRPr="00C55ADB">
                    <w:rPr>
                      <w:rFonts w:asciiTheme="majorHAnsi" w:hAnsiTheme="majorHAnsi"/>
                      <w:sz w:val="22"/>
                      <w:szCs w:val="22"/>
                    </w:rPr>
                    <w:t>68</w:t>
                  </w:r>
                </w:p>
              </w:tc>
              <w:tc>
                <w:tcPr>
                  <w:tcW w:w="1260" w:type="dxa"/>
                  <w:tcMar>
                    <w:top w:w="80" w:type="dxa"/>
                    <w:left w:w="80" w:type="dxa"/>
                    <w:bottom w:w="80" w:type="dxa"/>
                    <w:right w:w="80" w:type="dxa"/>
                  </w:tcMar>
                  <w:hideMark/>
                </w:tcPr>
                <w:p w14:paraId="189571B2" w14:textId="77777777" w:rsidR="006C04E8" w:rsidRPr="00C55ADB" w:rsidRDefault="006C04E8">
                  <w:pPr>
                    <w:pStyle w:val="BodyText"/>
                    <w:spacing w:after="0"/>
                    <w:rPr>
                      <w:rFonts w:asciiTheme="majorHAnsi" w:hAnsiTheme="majorHAnsi"/>
                      <w:sz w:val="22"/>
                      <w:szCs w:val="22"/>
                    </w:rPr>
                  </w:pPr>
                  <w:r w:rsidRPr="00C55ADB">
                    <w:rPr>
                      <w:rFonts w:asciiTheme="majorHAnsi" w:hAnsiTheme="majorHAnsi"/>
                      <w:sz w:val="22"/>
                      <w:szCs w:val="22"/>
                    </w:rPr>
                    <w:t>44%</w:t>
                  </w:r>
                </w:p>
              </w:tc>
            </w:tr>
            <w:tr w:rsidR="006C04E8" w:rsidRPr="00C55ADB" w14:paraId="3B2CC1ED" w14:textId="77777777">
              <w:tc>
                <w:tcPr>
                  <w:tcW w:w="4685" w:type="dxa"/>
                  <w:tcMar>
                    <w:top w:w="80" w:type="dxa"/>
                    <w:left w:w="80" w:type="dxa"/>
                    <w:bottom w:w="80" w:type="dxa"/>
                    <w:right w:w="80" w:type="dxa"/>
                  </w:tcMar>
                  <w:hideMark/>
                </w:tcPr>
                <w:p w14:paraId="456DA131" w14:textId="77777777" w:rsidR="006C04E8" w:rsidRPr="00C55ADB" w:rsidRDefault="006C04E8">
                  <w:pPr>
                    <w:pStyle w:val="BodyText"/>
                    <w:spacing w:after="0"/>
                    <w:rPr>
                      <w:rFonts w:asciiTheme="majorHAnsi" w:hAnsiTheme="majorHAnsi"/>
                      <w:sz w:val="22"/>
                      <w:szCs w:val="22"/>
                    </w:rPr>
                  </w:pPr>
                  <w:r w:rsidRPr="00C55ADB">
                    <w:rPr>
                      <w:rFonts w:asciiTheme="majorHAnsi" w:hAnsiTheme="majorHAnsi"/>
                      <w:b/>
                      <w:bCs/>
                      <w:sz w:val="22"/>
                      <w:szCs w:val="22"/>
                    </w:rPr>
                    <w:t xml:space="preserve">Total claims </w:t>
                  </w:r>
                </w:p>
              </w:tc>
              <w:tc>
                <w:tcPr>
                  <w:tcW w:w="992" w:type="dxa"/>
                  <w:tcMar>
                    <w:top w:w="80" w:type="dxa"/>
                    <w:left w:w="80" w:type="dxa"/>
                    <w:bottom w:w="80" w:type="dxa"/>
                    <w:right w:w="80" w:type="dxa"/>
                  </w:tcMar>
                  <w:hideMark/>
                </w:tcPr>
                <w:p w14:paraId="19CDBAC8" w14:textId="77777777" w:rsidR="006C04E8" w:rsidRPr="00C55ADB" w:rsidRDefault="006C04E8">
                  <w:pPr>
                    <w:pStyle w:val="BodyText"/>
                    <w:spacing w:after="0"/>
                    <w:rPr>
                      <w:rFonts w:asciiTheme="majorHAnsi" w:hAnsiTheme="majorHAnsi"/>
                      <w:sz w:val="22"/>
                      <w:szCs w:val="22"/>
                    </w:rPr>
                  </w:pPr>
                  <w:r w:rsidRPr="00C55ADB">
                    <w:rPr>
                      <w:rFonts w:asciiTheme="majorHAnsi" w:hAnsiTheme="majorHAnsi"/>
                      <w:sz w:val="22"/>
                      <w:szCs w:val="22"/>
                    </w:rPr>
                    <w:t>155</w:t>
                  </w:r>
                </w:p>
              </w:tc>
              <w:tc>
                <w:tcPr>
                  <w:tcW w:w="1260" w:type="dxa"/>
                  <w:tcMar>
                    <w:top w:w="80" w:type="dxa"/>
                    <w:left w:w="80" w:type="dxa"/>
                    <w:bottom w:w="80" w:type="dxa"/>
                    <w:right w:w="80" w:type="dxa"/>
                  </w:tcMar>
                  <w:hideMark/>
                </w:tcPr>
                <w:p w14:paraId="0483464E" w14:textId="77777777" w:rsidR="006C04E8" w:rsidRPr="00C55ADB" w:rsidRDefault="006C04E8">
                  <w:pPr>
                    <w:pStyle w:val="BodyText"/>
                    <w:spacing w:after="0"/>
                    <w:rPr>
                      <w:rFonts w:asciiTheme="majorHAnsi" w:hAnsiTheme="majorHAnsi"/>
                      <w:sz w:val="22"/>
                      <w:szCs w:val="22"/>
                    </w:rPr>
                  </w:pPr>
                  <w:r w:rsidRPr="00C55ADB">
                    <w:rPr>
                      <w:rFonts w:asciiTheme="majorHAnsi" w:hAnsiTheme="majorHAnsi"/>
                      <w:b/>
                      <w:bCs/>
                      <w:sz w:val="22"/>
                      <w:szCs w:val="22"/>
                    </w:rPr>
                    <w:t>100%</w:t>
                  </w:r>
                </w:p>
              </w:tc>
            </w:tr>
          </w:tbl>
          <w:p w14:paraId="3F1885A7" w14:textId="77777777" w:rsidR="006C04E8" w:rsidRPr="00C55ADB" w:rsidRDefault="006C04E8">
            <w:pPr>
              <w:suppressAutoHyphens w:val="0"/>
              <w:spacing w:before="120" w:after="120"/>
              <w:rPr>
                <w:rFonts w:ascii="Arial" w:hAnsi="Arial" w:cs="Arial"/>
                <w:bCs/>
                <w:sz w:val="22"/>
                <w:szCs w:val="22"/>
              </w:rPr>
            </w:pPr>
          </w:p>
        </w:tc>
      </w:tr>
      <w:tr w:rsidR="006C04E8" w:rsidRPr="0065283F" w14:paraId="319044AF" w14:textId="77777777" w:rsidTr="003714D2">
        <w:trPr>
          <w:trHeight w:val="454"/>
        </w:trPr>
        <w:tc>
          <w:tcPr>
            <w:tcW w:w="1819" w:type="dxa"/>
            <w:vMerge/>
          </w:tcPr>
          <w:p w14:paraId="753569AC" w14:textId="77777777" w:rsidR="006C04E8" w:rsidRPr="00C55ADB" w:rsidRDefault="006C04E8">
            <w:pPr>
              <w:suppressAutoHyphens w:val="0"/>
              <w:rPr>
                <w:rFonts w:ascii="Arial" w:hAnsi="Arial" w:cs="Arial"/>
                <w:b/>
                <w:sz w:val="22"/>
                <w:szCs w:val="22"/>
              </w:rPr>
            </w:pPr>
          </w:p>
        </w:tc>
        <w:tc>
          <w:tcPr>
            <w:tcW w:w="1525" w:type="dxa"/>
          </w:tcPr>
          <w:p w14:paraId="1D23EF49" w14:textId="77777777" w:rsidR="006C04E8" w:rsidRPr="00C55ADB" w:rsidRDefault="006C04E8">
            <w:pPr>
              <w:suppressAutoHyphens w:val="0"/>
              <w:spacing w:before="120" w:after="120"/>
              <w:rPr>
                <w:rFonts w:ascii="Arial" w:hAnsi="Arial" w:cs="Arial"/>
                <w:sz w:val="22"/>
                <w:szCs w:val="22"/>
              </w:rPr>
            </w:pPr>
            <w:r w:rsidRPr="00C55ADB">
              <w:rPr>
                <w:rFonts w:ascii="Arial" w:hAnsi="Arial" w:cs="Arial"/>
                <w:sz w:val="22"/>
                <w:szCs w:val="22"/>
              </w:rPr>
              <w:t>Quality rating:</w:t>
            </w:r>
          </w:p>
        </w:tc>
        <w:tc>
          <w:tcPr>
            <w:tcW w:w="6337" w:type="dxa"/>
          </w:tcPr>
          <w:p w14:paraId="069F8A7B" w14:textId="77777777" w:rsidR="006C04E8" w:rsidRPr="00C55ADB" w:rsidRDefault="006C04E8">
            <w:pPr>
              <w:suppressAutoHyphens w:val="0"/>
              <w:spacing w:before="120" w:after="120"/>
              <w:rPr>
                <w:rFonts w:ascii="Arial" w:hAnsi="Arial" w:cs="Arial"/>
                <w:bCs/>
                <w:sz w:val="22"/>
                <w:szCs w:val="22"/>
              </w:rPr>
            </w:pPr>
            <w:r w:rsidRPr="00764CD7">
              <w:rPr>
                <w:rFonts w:ascii="Arial" w:hAnsi="Arial" w:cs="Arial"/>
                <w:sz w:val="22"/>
                <w:szCs w:val="18"/>
              </w:rPr>
              <w:t>Marginal</w:t>
            </w:r>
          </w:p>
        </w:tc>
      </w:tr>
      <w:tr w:rsidR="006C04E8" w:rsidRPr="0065283F" w14:paraId="1B6FAB39" w14:textId="77777777" w:rsidTr="003714D2">
        <w:trPr>
          <w:trHeight w:val="454"/>
        </w:trPr>
        <w:tc>
          <w:tcPr>
            <w:tcW w:w="1819" w:type="dxa"/>
            <w:vMerge/>
          </w:tcPr>
          <w:p w14:paraId="06A7C9AA" w14:textId="77777777" w:rsidR="006C04E8" w:rsidRPr="00C55ADB" w:rsidRDefault="006C04E8">
            <w:pPr>
              <w:suppressAutoHyphens w:val="0"/>
              <w:rPr>
                <w:rFonts w:ascii="Arial" w:hAnsi="Arial" w:cs="Arial"/>
                <w:b/>
                <w:sz w:val="22"/>
                <w:szCs w:val="22"/>
              </w:rPr>
            </w:pPr>
          </w:p>
        </w:tc>
        <w:tc>
          <w:tcPr>
            <w:tcW w:w="1525" w:type="dxa"/>
          </w:tcPr>
          <w:p w14:paraId="6DF03B4C" w14:textId="77777777" w:rsidR="006C04E8" w:rsidRPr="00C55ADB" w:rsidRDefault="006C04E8">
            <w:pPr>
              <w:suppressAutoHyphens w:val="0"/>
              <w:spacing w:before="120" w:after="120"/>
              <w:rPr>
                <w:rFonts w:ascii="Arial" w:hAnsi="Arial" w:cs="Arial"/>
                <w:sz w:val="22"/>
                <w:szCs w:val="22"/>
              </w:rPr>
            </w:pPr>
            <w:r w:rsidRPr="00C55ADB">
              <w:rPr>
                <w:rFonts w:ascii="Arial" w:hAnsi="Arial" w:cs="Arial"/>
                <w:sz w:val="22"/>
                <w:szCs w:val="22"/>
              </w:rPr>
              <w:t>Assessment rationale summary:</w:t>
            </w:r>
          </w:p>
        </w:tc>
        <w:tc>
          <w:tcPr>
            <w:tcW w:w="6337" w:type="dxa"/>
          </w:tcPr>
          <w:p w14:paraId="341FC9D2" w14:textId="77777777" w:rsidR="006C04E8" w:rsidRPr="00C55ADB" w:rsidRDefault="006C04E8">
            <w:pPr>
              <w:suppressAutoHyphens w:val="0"/>
              <w:spacing w:before="120" w:after="120"/>
              <w:rPr>
                <w:rFonts w:ascii="Arial" w:hAnsi="Arial" w:cs="Arial"/>
                <w:bCs/>
                <w:sz w:val="22"/>
                <w:szCs w:val="22"/>
              </w:rPr>
            </w:pPr>
            <w:r w:rsidRPr="00C55ADB">
              <w:rPr>
                <w:rFonts w:ascii="Arial" w:hAnsi="Arial" w:cs="Arial"/>
                <w:bCs/>
                <w:sz w:val="22"/>
                <w:szCs w:val="22"/>
              </w:rPr>
              <w:t xml:space="preserve">We rated this report as marginal for both technical and substantive reasons.  From a technical perspective, the categorisations remain unclear, despite additional explanation in this edition.  (Categorisations have also changed from the previous report without explanation, making the two reports incomparable.)  Further, what items are always ongoing and continuously updated, and what items ought to be settled and finished is unclear.  </w:t>
            </w:r>
          </w:p>
          <w:p w14:paraId="428E56D4" w14:textId="77777777" w:rsidR="006C04E8" w:rsidRPr="00C55ADB" w:rsidRDefault="006C04E8">
            <w:pPr>
              <w:suppressAutoHyphens w:val="0"/>
              <w:spacing w:before="120" w:after="120"/>
              <w:rPr>
                <w:rFonts w:ascii="Arial" w:hAnsi="Arial" w:cs="Arial"/>
                <w:bCs/>
                <w:sz w:val="22"/>
                <w:szCs w:val="22"/>
              </w:rPr>
            </w:pPr>
            <w:r w:rsidRPr="00C55ADB">
              <w:rPr>
                <w:rFonts w:ascii="Arial" w:hAnsi="Arial" w:cs="Arial"/>
                <w:bCs/>
                <w:sz w:val="22"/>
                <w:szCs w:val="22"/>
              </w:rPr>
              <w:t xml:space="preserve">Second, the task is to report on recommendations, not list claims and an array of actions, many of which are only distantly related to the recommendations or claims – and some of which go directly against the recommendations of the Tribunal - but are yet still described positively as work ‘in progress’.  For example, the claim around the establishment process for Māori wards in local authorities is noted as </w:t>
            </w:r>
            <w:r w:rsidRPr="00C55ADB">
              <w:rPr>
                <w:rFonts w:ascii="Arial" w:hAnsi="Arial" w:cs="Arial"/>
                <w:bCs/>
                <w:i/>
                <w:iCs/>
                <w:sz w:val="22"/>
                <w:szCs w:val="22"/>
              </w:rPr>
              <w:t>‘in progress’</w:t>
            </w:r>
            <w:r w:rsidRPr="00C55ADB">
              <w:rPr>
                <w:rFonts w:ascii="Arial" w:hAnsi="Arial" w:cs="Arial"/>
                <w:bCs/>
                <w:sz w:val="22"/>
                <w:szCs w:val="22"/>
              </w:rPr>
              <w:t xml:space="preserve"> when the Tribunal had recommended the Government stop making its amendments to the law which would make it hard to establish wards.  Further, still other items made as ‘in progress’ had no progress recorded against them.  In these examples, there is no explanation as to why no gains were made.  </w:t>
            </w:r>
          </w:p>
          <w:p w14:paraId="69A5DF2D" w14:textId="77777777" w:rsidR="006C04E8" w:rsidRPr="00C55ADB" w:rsidRDefault="006C04E8">
            <w:pPr>
              <w:suppressAutoHyphens w:val="0"/>
              <w:spacing w:before="120" w:after="120"/>
              <w:rPr>
                <w:rFonts w:ascii="Arial" w:hAnsi="Arial" w:cs="Arial"/>
                <w:bCs/>
                <w:sz w:val="22"/>
                <w:szCs w:val="22"/>
              </w:rPr>
            </w:pPr>
            <w:r w:rsidRPr="00C55ADB">
              <w:rPr>
                <w:rFonts w:ascii="Arial" w:hAnsi="Arial" w:cs="Arial"/>
                <w:bCs/>
                <w:sz w:val="22"/>
                <w:szCs w:val="22"/>
              </w:rPr>
              <w:t>But more important than better organising and reporting on Government work is the need to gather perspectives of others to validate the statements.  In particular, the views of claimants and the views of the Waitangi Tribunal.  I.e. does the Tribunal agree progress is being made, and are the claimants satisfied?  Without such information the report reads too much as agencies just throwing in paragraph summaries of their work – hence allowing items to be recorded positively when that is not the case.  A report back without really knowing if anyone else agrees is never good (</w:t>
            </w:r>
            <w:proofErr w:type="spellStart"/>
            <w:r w:rsidRPr="00C55ADB">
              <w:rPr>
                <w:rFonts w:ascii="Arial" w:hAnsi="Arial" w:cs="Arial"/>
                <w:bCs/>
                <w:sz w:val="22"/>
                <w:szCs w:val="22"/>
              </w:rPr>
              <w:t>i.e</w:t>
            </w:r>
            <w:proofErr w:type="spellEnd"/>
            <w:r w:rsidRPr="00C55ADB">
              <w:rPr>
                <w:rFonts w:ascii="Arial" w:hAnsi="Arial" w:cs="Arial"/>
                <w:bCs/>
                <w:sz w:val="22"/>
                <w:szCs w:val="22"/>
              </w:rPr>
              <w:t xml:space="preserve"> no evidential triangulation of data), as it shows only limited cognisance of Māori perspectives.  </w:t>
            </w:r>
            <w:proofErr w:type="gramStart"/>
            <w:r w:rsidRPr="00C55ADB">
              <w:rPr>
                <w:rFonts w:ascii="Arial" w:hAnsi="Arial" w:cs="Arial"/>
                <w:bCs/>
                <w:sz w:val="22"/>
                <w:szCs w:val="22"/>
              </w:rPr>
              <w:t>Overall</w:t>
            </w:r>
            <w:proofErr w:type="gramEnd"/>
            <w:r w:rsidRPr="00C55ADB">
              <w:rPr>
                <w:rFonts w:ascii="Arial" w:hAnsi="Arial" w:cs="Arial"/>
                <w:bCs/>
                <w:sz w:val="22"/>
                <w:szCs w:val="22"/>
              </w:rPr>
              <w:t xml:space="preserve"> this report remains unclear and problematic in many regards, including being delivered 18 months after year’s end.</w:t>
            </w:r>
          </w:p>
        </w:tc>
      </w:tr>
    </w:tbl>
    <w:p w14:paraId="1CE04284" w14:textId="77777777" w:rsidR="006C04E8" w:rsidRDefault="006C04E8" w:rsidP="008F1A83">
      <w:pPr>
        <w:pStyle w:val="BodyText"/>
        <w:suppressAutoHyphens w:val="0"/>
        <w:rPr>
          <w:rFonts w:cs="Arial"/>
          <w:b/>
          <w:szCs w:val="24"/>
        </w:rPr>
      </w:pPr>
    </w:p>
    <w:tbl>
      <w:tblPr>
        <w:tblStyle w:val="TableGrid"/>
        <w:tblW w:w="0" w:type="auto"/>
        <w:tblInd w:w="-856" w:type="dxa"/>
        <w:tblLook w:val="04A0" w:firstRow="1" w:lastRow="0" w:firstColumn="1" w:lastColumn="0" w:noHBand="0" w:noVBand="1"/>
      </w:tblPr>
      <w:tblGrid>
        <w:gridCol w:w="1819"/>
        <w:gridCol w:w="1525"/>
        <w:gridCol w:w="6337"/>
      </w:tblGrid>
      <w:tr w:rsidR="00512709" w:rsidRPr="00E64C93" w14:paraId="04813FEB" w14:textId="77777777" w:rsidTr="0067458B">
        <w:trPr>
          <w:trHeight w:val="454"/>
        </w:trPr>
        <w:tc>
          <w:tcPr>
            <w:tcW w:w="1819" w:type="dxa"/>
            <w:vMerge w:val="restart"/>
          </w:tcPr>
          <w:bookmarkEnd w:id="15"/>
          <w:p w14:paraId="115E8FE0" w14:textId="18B05FE4" w:rsidR="00512709" w:rsidRPr="00C55ADB" w:rsidRDefault="00F26E36">
            <w:pPr>
              <w:suppressAutoHyphens w:val="0"/>
              <w:spacing w:before="120"/>
              <w:rPr>
                <w:rFonts w:ascii="Arial" w:hAnsi="Arial" w:cs="Arial"/>
                <w:b/>
                <w:sz w:val="22"/>
                <w:szCs w:val="22"/>
              </w:rPr>
            </w:pPr>
            <w:r w:rsidRPr="00C55ADB">
              <w:rPr>
                <w:rFonts w:ascii="Arial" w:hAnsi="Arial" w:cs="Arial"/>
                <w:b/>
                <w:sz w:val="22"/>
                <w:szCs w:val="22"/>
              </w:rPr>
              <w:t>Treaty</w:t>
            </w:r>
            <w:r w:rsidR="006C04E8" w:rsidRPr="00C55ADB">
              <w:rPr>
                <w:rFonts w:ascii="Arial" w:hAnsi="Arial" w:cs="Arial"/>
                <w:b/>
                <w:sz w:val="22"/>
                <w:szCs w:val="22"/>
              </w:rPr>
              <w:t xml:space="preserve"> Settlements</w:t>
            </w:r>
          </w:p>
          <w:p w14:paraId="73C24808" w14:textId="77777777" w:rsidR="00512709" w:rsidRPr="00C55ADB" w:rsidRDefault="00512709">
            <w:pPr>
              <w:suppressAutoHyphens w:val="0"/>
              <w:rPr>
                <w:rFonts w:ascii="Arial" w:hAnsi="Arial" w:cs="Arial"/>
                <w:b/>
                <w:sz w:val="22"/>
                <w:szCs w:val="22"/>
              </w:rPr>
            </w:pPr>
          </w:p>
          <w:p w14:paraId="7F525BEE" w14:textId="77777777" w:rsidR="00512709" w:rsidRPr="00C55ADB" w:rsidRDefault="00512709">
            <w:pPr>
              <w:rPr>
                <w:rFonts w:ascii="Arial" w:hAnsi="Arial" w:cs="Arial"/>
                <w:b/>
                <w:sz w:val="22"/>
                <w:szCs w:val="22"/>
              </w:rPr>
            </w:pPr>
            <w:r w:rsidRPr="00C55ADB">
              <w:rPr>
                <w:rFonts w:ascii="Arial" w:hAnsi="Arial" w:cs="Arial"/>
                <w:b/>
                <w:sz w:val="22"/>
                <w:szCs w:val="22"/>
              </w:rPr>
              <w:t>Pānui 03/2026</w:t>
            </w:r>
          </w:p>
        </w:tc>
        <w:tc>
          <w:tcPr>
            <w:tcW w:w="1525" w:type="dxa"/>
          </w:tcPr>
          <w:p w14:paraId="159DB193" w14:textId="77777777" w:rsidR="00512709" w:rsidRPr="00C55ADB" w:rsidRDefault="00512709">
            <w:pPr>
              <w:suppressAutoHyphens w:val="0"/>
              <w:spacing w:before="120" w:after="120"/>
              <w:rPr>
                <w:rFonts w:ascii="Arial" w:hAnsi="Arial" w:cs="Arial"/>
                <w:i/>
                <w:sz w:val="22"/>
                <w:szCs w:val="22"/>
              </w:rPr>
            </w:pPr>
            <w:r w:rsidRPr="00C55ADB">
              <w:rPr>
                <w:rFonts w:ascii="Arial" w:hAnsi="Arial" w:cs="Arial"/>
                <w:b/>
                <w:sz w:val="22"/>
                <w:szCs w:val="22"/>
              </w:rPr>
              <w:t>Item:</w:t>
            </w:r>
          </w:p>
        </w:tc>
        <w:tc>
          <w:tcPr>
            <w:tcW w:w="6337" w:type="dxa"/>
          </w:tcPr>
          <w:p w14:paraId="5DB20E78" w14:textId="77777777" w:rsidR="00512709" w:rsidRPr="00C55ADB" w:rsidRDefault="00512709">
            <w:pPr>
              <w:pStyle w:val="BodyText"/>
              <w:rPr>
                <w:rFonts w:cs="Arial"/>
                <w:b/>
                <w:sz w:val="22"/>
                <w:szCs w:val="22"/>
              </w:rPr>
            </w:pPr>
            <w:bookmarkStart w:id="20" w:name="ap4"/>
            <w:r w:rsidRPr="00C55ADB">
              <w:rPr>
                <w:rFonts w:cs="Arial"/>
                <w:b/>
                <w:sz w:val="22"/>
                <w:szCs w:val="22"/>
              </w:rPr>
              <w:t xml:space="preserve">Whole of System (Core Crown) Report on Treaty </w:t>
            </w:r>
            <w:bookmarkEnd w:id="20"/>
            <w:r w:rsidRPr="00C55ADB">
              <w:rPr>
                <w:rFonts w:cs="Arial"/>
                <w:b/>
                <w:sz w:val="22"/>
                <w:szCs w:val="22"/>
              </w:rPr>
              <w:t>Settlement Delivery 2025 /</w:t>
            </w:r>
          </w:p>
          <w:p w14:paraId="12E20908" w14:textId="77777777" w:rsidR="00512709" w:rsidRPr="00C55ADB" w:rsidRDefault="00512709">
            <w:pPr>
              <w:pStyle w:val="BodyText"/>
              <w:spacing w:before="120"/>
              <w:rPr>
                <w:rFonts w:cs="Arial"/>
                <w:sz w:val="22"/>
                <w:szCs w:val="22"/>
              </w:rPr>
            </w:pPr>
            <w:r w:rsidRPr="00C55ADB">
              <w:rPr>
                <w:rFonts w:cs="Arial"/>
                <w:b/>
                <w:sz w:val="22"/>
                <w:szCs w:val="22"/>
              </w:rPr>
              <w:t xml:space="preserve">Te Pūrongo mō te Katoa o te </w:t>
            </w:r>
            <w:proofErr w:type="spellStart"/>
            <w:r w:rsidRPr="00C55ADB">
              <w:rPr>
                <w:rFonts w:cs="Arial"/>
                <w:b/>
                <w:sz w:val="22"/>
                <w:szCs w:val="22"/>
              </w:rPr>
              <w:t>Pūnaha</w:t>
            </w:r>
            <w:proofErr w:type="spellEnd"/>
            <w:r w:rsidRPr="00C55ADB">
              <w:rPr>
                <w:rFonts w:cs="Arial"/>
                <w:b/>
                <w:sz w:val="22"/>
                <w:szCs w:val="22"/>
              </w:rPr>
              <w:t xml:space="preserve"> (</w:t>
            </w:r>
            <w:proofErr w:type="spellStart"/>
            <w:r w:rsidRPr="00C55ADB">
              <w:rPr>
                <w:rFonts w:cs="Arial"/>
                <w:b/>
                <w:sz w:val="22"/>
                <w:szCs w:val="22"/>
              </w:rPr>
              <w:t>Karauna</w:t>
            </w:r>
            <w:proofErr w:type="spellEnd"/>
            <w:r w:rsidRPr="00C55ADB">
              <w:rPr>
                <w:rFonts w:cs="Arial"/>
                <w:b/>
                <w:sz w:val="22"/>
                <w:szCs w:val="22"/>
              </w:rPr>
              <w:t xml:space="preserve"> Matua) mō te </w:t>
            </w:r>
            <w:proofErr w:type="spellStart"/>
            <w:r w:rsidRPr="00C55ADB">
              <w:rPr>
                <w:rFonts w:cs="Arial"/>
                <w:b/>
                <w:sz w:val="22"/>
                <w:szCs w:val="22"/>
              </w:rPr>
              <w:t>Whakatutukinga</w:t>
            </w:r>
            <w:proofErr w:type="spellEnd"/>
            <w:r w:rsidRPr="00C55ADB">
              <w:rPr>
                <w:rFonts w:cs="Arial"/>
                <w:b/>
                <w:sz w:val="22"/>
                <w:szCs w:val="22"/>
              </w:rPr>
              <w:t xml:space="preserve"> o ngā </w:t>
            </w:r>
            <w:proofErr w:type="spellStart"/>
            <w:r w:rsidRPr="00C55ADB">
              <w:rPr>
                <w:rFonts w:cs="Arial"/>
                <w:b/>
                <w:sz w:val="22"/>
                <w:szCs w:val="22"/>
              </w:rPr>
              <w:t>Whakataunga</w:t>
            </w:r>
            <w:proofErr w:type="spellEnd"/>
            <w:r w:rsidRPr="00C55ADB">
              <w:rPr>
                <w:rFonts w:cs="Arial"/>
                <w:b/>
                <w:sz w:val="22"/>
                <w:szCs w:val="22"/>
              </w:rPr>
              <w:t xml:space="preserve"> Tiriti 2025</w:t>
            </w:r>
          </w:p>
        </w:tc>
      </w:tr>
      <w:tr w:rsidR="00512709" w:rsidRPr="00E64C93" w14:paraId="2BA68AAF" w14:textId="77777777" w:rsidTr="0067458B">
        <w:trPr>
          <w:trHeight w:val="454"/>
        </w:trPr>
        <w:tc>
          <w:tcPr>
            <w:tcW w:w="1819" w:type="dxa"/>
            <w:vMerge/>
          </w:tcPr>
          <w:p w14:paraId="6D7DBCD6" w14:textId="77777777" w:rsidR="00512709" w:rsidRPr="00C55ADB" w:rsidRDefault="00512709">
            <w:pPr>
              <w:rPr>
                <w:rFonts w:ascii="Arial" w:hAnsi="Arial" w:cs="Arial"/>
                <w:b/>
                <w:sz w:val="22"/>
                <w:szCs w:val="22"/>
              </w:rPr>
            </w:pPr>
          </w:p>
        </w:tc>
        <w:tc>
          <w:tcPr>
            <w:tcW w:w="1525" w:type="dxa"/>
          </w:tcPr>
          <w:p w14:paraId="0BC24CDD" w14:textId="77777777" w:rsidR="00512709" w:rsidRPr="00C55ADB" w:rsidRDefault="00512709">
            <w:pPr>
              <w:suppressAutoHyphens w:val="0"/>
              <w:spacing w:before="120" w:after="120"/>
              <w:rPr>
                <w:rFonts w:ascii="Arial" w:hAnsi="Arial" w:cs="Arial"/>
                <w:i/>
                <w:sz w:val="22"/>
                <w:szCs w:val="22"/>
              </w:rPr>
            </w:pPr>
            <w:r w:rsidRPr="00C55ADB">
              <w:rPr>
                <w:rFonts w:ascii="Arial" w:hAnsi="Arial" w:cs="Arial"/>
                <w:sz w:val="22"/>
                <w:szCs w:val="22"/>
              </w:rPr>
              <w:t>Publisher:</w:t>
            </w:r>
          </w:p>
        </w:tc>
        <w:tc>
          <w:tcPr>
            <w:tcW w:w="6337" w:type="dxa"/>
          </w:tcPr>
          <w:p w14:paraId="380B7C26" w14:textId="77777777" w:rsidR="00512709" w:rsidRPr="00C55ADB" w:rsidRDefault="00512709">
            <w:pPr>
              <w:pStyle w:val="BodyText"/>
              <w:spacing w:before="120"/>
              <w:rPr>
                <w:rFonts w:cs="Arial"/>
                <w:sz w:val="22"/>
                <w:szCs w:val="22"/>
              </w:rPr>
            </w:pPr>
            <w:r w:rsidRPr="00C55ADB">
              <w:rPr>
                <w:rFonts w:cs="Arial"/>
                <w:sz w:val="22"/>
                <w:szCs w:val="22"/>
              </w:rPr>
              <w:t>Te Puni Kōkiri:</w:t>
            </w:r>
          </w:p>
        </w:tc>
      </w:tr>
      <w:tr w:rsidR="00512709" w:rsidRPr="0065283F" w14:paraId="6C4FC1E7" w14:textId="77777777" w:rsidTr="0067458B">
        <w:trPr>
          <w:trHeight w:val="454"/>
        </w:trPr>
        <w:tc>
          <w:tcPr>
            <w:tcW w:w="1819" w:type="dxa"/>
            <w:vMerge/>
          </w:tcPr>
          <w:p w14:paraId="2F231CFD" w14:textId="77777777" w:rsidR="00512709" w:rsidRPr="00C55ADB" w:rsidRDefault="00512709">
            <w:pPr>
              <w:suppressAutoHyphens w:val="0"/>
              <w:rPr>
                <w:rFonts w:ascii="Arial" w:hAnsi="Arial" w:cs="Arial"/>
                <w:b/>
                <w:sz w:val="22"/>
                <w:szCs w:val="22"/>
              </w:rPr>
            </w:pPr>
          </w:p>
        </w:tc>
        <w:tc>
          <w:tcPr>
            <w:tcW w:w="1525" w:type="dxa"/>
          </w:tcPr>
          <w:p w14:paraId="711BDF56" w14:textId="77777777" w:rsidR="00512709" w:rsidRPr="00C55ADB" w:rsidRDefault="00512709">
            <w:pPr>
              <w:suppressAutoHyphens w:val="0"/>
              <w:spacing w:before="120" w:after="120"/>
              <w:rPr>
                <w:rFonts w:ascii="Arial" w:hAnsi="Arial" w:cs="Arial"/>
                <w:i/>
                <w:sz w:val="22"/>
                <w:szCs w:val="22"/>
              </w:rPr>
            </w:pPr>
            <w:r w:rsidRPr="00C55ADB">
              <w:rPr>
                <w:rFonts w:ascii="Arial" w:hAnsi="Arial" w:cs="Arial"/>
                <w:sz w:val="22"/>
                <w:szCs w:val="22"/>
              </w:rPr>
              <w:t>Content summary:</w:t>
            </w:r>
          </w:p>
        </w:tc>
        <w:tc>
          <w:tcPr>
            <w:tcW w:w="6337" w:type="dxa"/>
          </w:tcPr>
          <w:p w14:paraId="5553E6BE" w14:textId="77777777" w:rsidR="00512709" w:rsidRPr="00C55ADB" w:rsidRDefault="00512709">
            <w:pPr>
              <w:suppressAutoHyphens w:val="0"/>
              <w:spacing w:before="120" w:after="120"/>
              <w:rPr>
                <w:rFonts w:ascii="Arial" w:hAnsi="Arial" w:cs="Arial"/>
                <w:bCs/>
                <w:sz w:val="22"/>
                <w:szCs w:val="22"/>
              </w:rPr>
            </w:pPr>
            <w:r w:rsidRPr="00C55ADB">
              <w:rPr>
                <w:rFonts w:ascii="Arial" w:hAnsi="Arial" w:cs="Arial"/>
                <w:bCs/>
                <w:sz w:val="22"/>
                <w:szCs w:val="22"/>
              </w:rPr>
              <w:t>This is the second annual report back on how well Treaty settlement commitments are being upheld by 26 core Crown agencies.  The reporting period is the year to 30 June 2025.  For this edition the report authorship has shifted from Te Arawhiti to Te Puni Kōkiri, in accordance with role changes.  (For our review of the previous report refer to Pānui 3/2025.)</w:t>
            </w:r>
          </w:p>
          <w:p w14:paraId="0EC7F4A6" w14:textId="77777777" w:rsidR="00512709" w:rsidRPr="00C55ADB" w:rsidRDefault="00512709">
            <w:pPr>
              <w:suppressAutoHyphens w:val="0"/>
              <w:spacing w:before="120" w:after="120"/>
              <w:rPr>
                <w:rFonts w:ascii="Arial" w:hAnsi="Arial" w:cs="Arial"/>
                <w:bCs/>
                <w:sz w:val="22"/>
                <w:szCs w:val="22"/>
              </w:rPr>
            </w:pPr>
            <w:r w:rsidRPr="00C55ADB">
              <w:rPr>
                <w:rFonts w:ascii="Arial" w:hAnsi="Arial" w:cs="Arial"/>
                <w:bCs/>
                <w:sz w:val="22"/>
                <w:szCs w:val="22"/>
              </w:rPr>
              <w:t>The report identifies that there are now 78 pieces of settlement legislation being ‘captured’ and reported on through the Government’s database ‘Te Haeata’ (up from 74 last year, showing better reporting and the progression of further settlements).</w:t>
            </w:r>
          </w:p>
          <w:p w14:paraId="28012DD1" w14:textId="77777777" w:rsidR="00512709" w:rsidRPr="00C55ADB" w:rsidRDefault="00512709">
            <w:pPr>
              <w:suppressAutoHyphens w:val="0"/>
              <w:spacing w:before="120" w:after="120"/>
              <w:rPr>
                <w:rFonts w:ascii="Arial" w:hAnsi="Arial" w:cs="Arial"/>
                <w:bCs/>
                <w:sz w:val="22"/>
                <w:szCs w:val="22"/>
              </w:rPr>
            </w:pPr>
            <w:r w:rsidRPr="00C55ADB">
              <w:rPr>
                <w:rFonts w:ascii="Arial" w:hAnsi="Arial" w:cs="Arial"/>
                <w:bCs/>
                <w:sz w:val="22"/>
                <w:szCs w:val="22"/>
              </w:rPr>
              <w:t xml:space="preserve">Of those settlements completed, the report advises there are now a record of 14,751 Treaty commitments that the Crown has made.  Of these the report finds: </w:t>
            </w:r>
          </w:p>
          <w:p w14:paraId="50477687" w14:textId="77777777" w:rsidR="00512709" w:rsidRPr="00C55ADB" w:rsidRDefault="00512709" w:rsidP="00512709">
            <w:pPr>
              <w:numPr>
                <w:ilvl w:val="0"/>
                <w:numId w:val="6"/>
              </w:numPr>
              <w:tabs>
                <w:tab w:val="clear" w:pos="1440"/>
                <w:tab w:val="num" w:pos="360"/>
              </w:tabs>
              <w:suppressAutoHyphens w:val="0"/>
              <w:spacing w:before="120" w:after="120"/>
              <w:ind w:left="360"/>
              <w:rPr>
                <w:rFonts w:ascii="Arial" w:hAnsi="Arial" w:cs="Arial"/>
                <w:bCs/>
                <w:sz w:val="22"/>
                <w:szCs w:val="22"/>
              </w:rPr>
            </w:pPr>
            <w:r w:rsidRPr="00C55ADB">
              <w:rPr>
                <w:rFonts w:ascii="Arial" w:hAnsi="Arial" w:cs="Arial"/>
                <w:bCs/>
                <w:sz w:val="22"/>
                <w:szCs w:val="22"/>
                <w:lang w:val="en-US"/>
              </w:rPr>
              <w:t>8,521 are completed (i.e. 58%</w:t>
            </w:r>
            <w:proofErr w:type="gramStart"/>
            <w:r w:rsidRPr="00C55ADB">
              <w:rPr>
                <w:rFonts w:ascii="Arial" w:hAnsi="Arial" w:cs="Arial"/>
                <w:bCs/>
                <w:sz w:val="22"/>
                <w:szCs w:val="22"/>
                <w:lang w:val="en-US"/>
              </w:rPr>
              <w:t>);</w:t>
            </w:r>
            <w:proofErr w:type="gramEnd"/>
          </w:p>
          <w:p w14:paraId="609AFD72" w14:textId="77777777" w:rsidR="00512709" w:rsidRPr="00C55ADB" w:rsidRDefault="00512709" w:rsidP="00512709">
            <w:pPr>
              <w:numPr>
                <w:ilvl w:val="0"/>
                <w:numId w:val="6"/>
              </w:numPr>
              <w:tabs>
                <w:tab w:val="clear" w:pos="1440"/>
                <w:tab w:val="num" w:pos="360"/>
              </w:tabs>
              <w:suppressAutoHyphens w:val="0"/>
              <w:spacing w:before="120" w:after="120"/>
              <w:ind w:left="360"/>
              <w:rPr>
                <w:rFonts w:ascii="Arial" w:hAnsi="Arial" w:cs="Arial"/>
                <w:bCs/>
                <w:sz w:val="22"/>
                <w:szCs w:val="22"/>
              </w:rPr>
            </w:pPr>
            <w:r w:rsidRPr="00C55ADB">
              <w:rPr>
                <w:rFonts w:ascii="Arial" w:hAnsi="Arial" w:cs="Arial"/>
                <w:bCs/>
                <w:sz w:val="22"/>
                <w:szCs w:val="22"/>
                <w:lang w:val="en-US"/>
              </w:rPr>
              <w:t>3,762 are on track (i.e. 26%</w:t>
            </w:r>
            <w:proofErr w:type="gramStart"/>
            <w:r w:rsidRPr="00C55ADB">
              <w:rPr>
                <w:rFonts w:ascii="Arial" w:hAnsi="Arial" w:cs="Arial"/>
                <w:bCs/>
                <w:sz w:val="22"/>
                <w:szCs w:val="22"/>
                <w:lang w:val="en-US"/>
              </w:rPr>
              <w:t>);</w:t>
            </w:r>
            <w:proofErr w:type="gramEnd"/>
            <w:r w:rsidRPr="00C55ADB">
              <w:rPr>
                <w:rFonts w:ascii="Arial" w:hAnsi="Arial" w:cs="Arial"/>
                <w:bCs/>
                <w:sz w:val="22"/>
                <w:szCs w:val="22"/>
                <w:lang w:val="en-US"/>
              </w:rPr>
              <w:t xml:space="preserve"> </w:t>
            </w:r>
          </w:p>
          <w:p w14:paraId="34F9E78A" w14:textId="77777777" w:rsidR="00512709" w:rsidRPr="00C55ADB" w:rsidRDefault="00512709" w:rsidP="00512709">
            <w:pPr>
              <w:numPr>
                <w:ilvl w:val="0"/>
                <w:numId w:val="6"/>
              </w:numPr>
              <w:tabs>
                <w:tab w:val="clear" w:pos="1440"/>
                <w:tab w:val="num" w:pos="360"/>
              </w:tabs>
              <w:suppressAutoHyphens w:val="0"/>
              <w:spacing w:before="120" w:after="120"/>
              <w:ind w:left="360"/>
              <w:rPr>
                <w:rFonts w:ascii="Arial" w:hAnsi="Arial" w:cs="Arial"/>
                <w:bCs/>
                <w:sz w:val="22"/>
                <w:szCs w:val="22"/>
              </w:rPr>
            </w:pPr>
            <w:r w:rsidRPr="00C55ADB">
              <w:rPr>
                <w:rFonts w:ascii="Arial" w:hAnsi="Arial" w:cs="Arial"/>
                <w:bCs/>
                <w:sz w:val="22"/>
                <w:szCs w:val="22"/>
              </w:rPr>
              <w:t xml:space="preserve">1,949 are yet to be triggered </w:t>
            </w:r>
            <w:r w:rsidRPr="00C55ADB">
              <w:rPr>
                <w:rFonts w:ascii="Arial" w:hAnsi="Arial" w:cs="Arial"/>
                <w:bCs/>
                <w:sz w:val="22"/>
                <w:szCs w:val="22"/>
                <w:lang w:val="en-US"/>
              </w:rPr>
              <w:t>(i.e. 13%</w:t>
            </w:r>
            <w:proofErr w:type="gramStart"/>
            <w:r w:rsidRPr="00C55ADB">
              <w:rPr>
                <w:rFonts w:ascii="Arial" w:hAnsi="Arial" w:cs="Arial"/>
                <w:bCs/>
                <w:sz w:val="22"/>
                <w:szCs w:val="22"/>
                <w:lang w:val="en-US"/>
              </w:rPr>
              <w:t>);</w:t>
            </w:r>
            <w:proofErr w:type="gramEnd"/>
          </w:p>
          <w:p w14:paraId="72346CE6" w14:textId="77777777" w:rsidR="00512709" w:rsidRPr="00C55ADB" w:rsidRDefault="00512709" w:rsidP="00512709">
            <w:pPr>
              <w:numPr>
                <w:ilvl w:val="0"/>
                <w:numId w:val="6"/>
              </w:numPr>
              <w:tabs>
                <w:tab w:val="clear" w:pos="1440"/>
                <w:tab w:val="num" w:pos="360"/>
              </w:tabs>
              <w:suppressAutoHyphens w:val="0"/>
              <w:spacing w:before="120" w:after="120"/>
              <w:ind w:left="360"/>
              <w:rPr>
                <w:rFonts w:ascii="Arial" w:hAnsi="Arial" w:cs="Arial"/>
                <w:bCs/>
                <w:sz w:val="22"/>
                <w:szCs w:val="22"/>
                <w:lang w:val="en-NZ"/>
              </w:rPr>
            </w:pPr>
            <w:r w:rsidRPr="00C55ADB">
              <w:rPr>
                <w:rFonts w:ascii="Arial" w:hAnsi="Arial" w:cs="Arial"/>
                <w:bCs/>
                <w:sz w:val="22"/>
                <w:szCs w:val="22"/>
              </w:rPr>
              <w:t xml:space="preserve">519 are recorded as having delivery issues </w:t>
            </w:r>
            <w:r w:rsidRPr="00C55ADB">
              <w:rPr>
                <w:rFonts w:ascii="Arial" w:hAnsi="Arial" w:cs="Arial"/>
                <w:bCs/>
                <w:sz w:val="22"/>
                <w:szCs w:val="22"/>
                <w:lang w:val="en-US"/>
              </w:rPr>
              <w:t>(i.e. 4%)</w:t>
            </w:r>
            <w:r w:rsidRPr="00C55ADB">
              <w:rPr>
                <w:rFonts w:ascii="Arial" w:hAnsi="Arial" w:cs="Arial"/>
                <w:bCs/>
                <w:sz w:val="22"/>
                <w:szCs w:val="22"/>
              </w:rPr>
              <w:t>.</w:t>
            </w:r>
            <w:r w:rsidRPr="00C55ADB">
              <w:rPr>
                <w:rFonts w:ascii="Arial" w:hAnsi="Arial" w:cs="Arial"/>
                <w:bCs/>
                <w:sz w:val="22"/>
                <w:szCs w:val="22"/>
                <w:vertAlign w:val="superscript"/>
              </w:rPr>
              <w:footnoteReference w:id="9"/>
            </w:r>
          </w:p>
          <w:p w14:paraId="6042B69A" w14:textId="77777777" w:rsidR="00512709" w:rsidRPr="00C55ADB" w:rsidRDefault="00512709">
            <w:pPr>
              <w:suppressAutoHyphens w:val="0"/>
              <w:spacing w:before="120" w:after="120"/>
              <w:rPr>
                <w:rFonts w:ascii="Arial" w:hAnsi="Arial" w:cs="Arial"/>
                <w:bCs/>
                <w:sz w:val="22"/>
                <w:szCs w:val="22"/>
                <w:lang w:val="en-US"/>
              </w:rPr>
            </w:pPr>
            <w:r w:rsidRPr="00C55ADB">
              <w:rPr>
                <w:rFonts w:ascii="Arial" w:hAnsi="Arial" w:cs="Arial"/>
                <w:bCs/>
                <w:sz w:val="22"/>
                <w:szCs w:val="22"/>
                <w:lang w:val="en-US"/>
              </w:rPr>
              <w:t xml:space="preserve">In short, circa 84% of commitments made are on track (assuming the database is functioning well).  We note there are a range of reasons why an agency might record delivery issues, including lack of evidence to state </w:t>
            </w:r>
            <w:proofErr w:type="gramStart"/>
            <w:r w:rsidRPr="00C55ADB">
              <w:rPr>
                <w:rFonts w:ascii="Arial" w:hAnsi="Arial" w:cs="Arial"/>
                <w:bCs/>
                <w:sz w:val="22"/>
                <w:szCs w:val="22"/>
                <w:lang w:val="en-US"/>
              </w:rPr>
              <w:t>otherwise,  deferred</w:t>
            </w:r>
            <w:proofErr w:type="gramEnd"/>
            <w:r w:rsidRPr="00C55ADB">
              <w:rPr>
                <w:rFonts w:ascii="Arial" w:hAnsi="Arial" w:cs="Arial"/>
                <w:bCs/>
                <w:sz w:val="22"/>
                <w:szCs w:val="22"/>
                <w:lang w:val="en-US"/>
              </w:rPr>
              <w:t xml:space="preserve"> property selections due to technical matters, etc.  I.e. delivery issues </w:t>
            </w:r>
            <w:proofErr w:type="gramStart"/>
            <w:r w:rsidRPr="00C55ADB">
              <w:rPr>
                <w:rFonts w:ascii="Arial" w:hAnsi="Arial" w:cs="Arial"/>
                <w:bCs/>
                <w:sz w:val="22"/>
                <w:szCs w:val="22"/>
                <w:lang w:val="en-US"/>
              </w:rPr>
              <w:t>does</w:t>
            </w:r>
            <w:proofErr w:type="gramEnd"/>
            <w:r w:rsidRPr="00C55ADB">
              <w:rPr>
                <w:rFonts w:ascii="Arial" w:hAnsi="Arial" w:cs="Arial"/>
                <w:bCs/>
                <w:sz w:val="22"/>
                <w:szCs w:val="22"/>
                <w:lang w:val="en-US"/>
              </w:rPr>
              <w:t xml:space="preserve"> not automatically imply matters have gone wrong (although </w:t>
            </w:r>
            <w:proofErr w:type="gramStart"/>
            <w:r w:rsidRPr="00C55ADB">
              <w:rPr>
                <w:rFonts w:ascii="Arial" w:hAnsi="Arial" w:cs="Arial"/>
                <w:bCs/>
                <w:sz w:val="22"/>
                <w:szCs w:val="22"/>
                <w:lang w:val="en-US"/>
              </w:rPr>
              <w:t>it</w:t>
            </w:r>
            <w:proofErr w:type="gramEnd"/>
            <w:r w:rsidRPr="00C55ADB">
              <w:rPr>
                <w:rFonts w:ascii="Arial" w:hAnsi="Arial" w:cs="Arial"/>
                <w:bCs/>
                <w:sz w:val="22"/>
                <w:szCs w:val="22"/>
                <w:lang w:val="en-US"/>
              </w:rPr>
              <w:t xml:space="preserve"> could). </w:t>
            </w:r>
          </w:p>
          <w:p w14:paraId="7A64264E" w14:textId="77777777" w:rsidR="00512709" w:rsidRPr="00C55ADB" w:rsidRDefault="00512709">
            <w:pPr>
              <w:suppressAutoHyphens w:val="0"/>
              <w:spacing w:before="120" w:after="120"/>
              <w:rPr>
                <w:rFonts w:ascii="Arial" w:hAnsi="Arial" w:cs="Arial"/>
                <w:bCs/>
                <w:sz w:val="22"/>
                <w:szCs w:val="22"/>
                <w:lang w:val="en-US"/>
              </w:rPr>
            </w:pPr>
          </w:p>
          <w:p w14:paraId="6F1E81E8" w14:textId="77777777" w:rsidR="00512709" w:rsidRPr="00C55ADB" w:rsidRDefault="00512709">
            <w:pPr>
              <w:suppressAutoHyphens w:val="0"/>
              <w:spacing w:before="120" w:after="120"/>
              <w:rPr>
                <w:rFonts w:ascii="Arial" w:hAnsi="Arial" w:cs="Arial"/>
                <w:bCs/>
                <w:sz w:val="22"/>
                <w:szCs w:val="22"/>
                <w:lang w:val="en-US"/>
              </w:rPr>
            </w:pPr>
            <w:proofErr w:type="gramStart"/>
            <w:r w:rsidRPr="00C55ADB">
              <w:rPr>
                <w:rFonts w:ascii="Arial" w:hAnsi="Arial" w:cs="Arial"/>
                <w:bCs/>
                <w:sz w:val="22"/>
                <w:szCs w:val="22"/>
                <w:lang w:val="en-US"/>
              </w:rPr>
              <w:t>Overall</w:t>
            </w:r>
            <w:proofErr w:type="gramEnd"/>
            <w:r w:rsidRPr="00C55ADB">
              <w:rPr>
                <w:rFonts w:ascii="Arial" w:hAnsi="Arial" w:cs="Arial"/>
                <w:bCs/>
                <w:sz w:val="22"/>
                <w:szCs w:val="22"/>
                <w:lang w:val="en-US"/>
              </w:rPr>
              <w:t xml:space="preserve"> the data shows gains </w:t>
            </w:r>
            <w:proofErr w:type="gramStart"/>
            <w:r w:rsidRPr="00C55ADB">
              <w:rPr>
                <w:rFonts w:ascii="Arial" w:hAnsi="Arial" w:cs="Arial"/>
                <w:bCs/>
                <w:sz w:val="22"/>
                <w:szCs w:val="22"/>
                <w:lang w:val="en-US"/>
              </w:rPr>
              <w:t>on</w:t>
            </w:r>
            <w:proofErr w:type="gramEnd"/>
            <w:r w:rsidRPr="00C55ADB">
              <w:rPr>
                <w:rFonts w:ascii="Arial" w:hAnsi="Arial" w:cs="Arial"/>
                <w:bCs/>
                <w:sz w:val="22"/>
                <w:szCs w:val="22"/>
                <w:lang w:val="en-US"/>
              </w:rPr>
              <w:t xml:space="preserve"> service delivery over the year before (i.e. commitments completed or on track are up 6.6%).</w:t>
            </w:r>
          </w:p>
          <w:p w14:paraId="006A9FFD" w14:textId="77777777" w:rsidR="00512709" w:rsidRPr="00C55ADB" w:rsidRDefault="00512709">
            <w:pPr>
              <w:suppressAutoHyphens w:val="0"/>
              <w:spacing w:before="120" w:after="120"/>
              <w:rPr>
                <w:rFonts w:ascii="Arial" w:hAnsi="Arial" w:cs="Arial"/>
                <w:bCs/>
                <w:sz w:val="22"/>
                <w:szCs w:val="22"/>
                <w:lang w:val="en-US"/>
              </w:rPr>
            </w:pPr>
            <w:r w:rsidRPr="00C55ADB">
              <w:rPr>
                <w:rFonts w:ascii="Arial" w:hAnsi="Arial" w:cs="Arial"/>
                <w:bCs/>
                <w:sz w:val="22"/>
                <w:szCs w:val="22"/>
                <w:lang w:val="en-US"/>
              </w:rPr>
              <w:t xml:space="preserve">This year’s report, aside from additional hedging around the Crown’s Treaty policy framework (Te </w:t>
            </w:r>
            <w:proofErr w:type="spellStart"/>
            <w:r w:rsidRPr="00C55ADB">
              <w:rPr>
                <w:rFonts w:ascii="Arial" w:hAnsi="Arial" w:cs="Arial"/>
                <w:bCs/>
                <w:sz w:val="22"/>
                <w:szCs w:val="22"/>
                <w:lang w:val="en-US"/>
              </w:rPr>
              <w:t>Tautahi</w:t>
            </w:r>
            <w:proofErr w:type="spellEnd"/>
            <w:r w:rsidRPr="00C55ADB">
              <w:rPr>
                <w:rFonts w:ascii="Arial" w:hAnsi="Arial" w:cs="Arial"/>
                <w:bCs/>
                <w:sz w:val="22"/>
                <w:szCs w:val="22"/>
                <w:lang w:val="en-US"/>
              </w:rPr>
              <w:t xml:space="preserve"> ō Rongo) and the functionality of settlements, also includes some research of the views of iwi (specifically the collated views of 24 Post Settlement Entities).  In this regard the report advises:</w:t>
            </w:r>
          </w:p>
          <w:p w14:paraId="15886662" w14:textId="77777777" w:rsidR="00512709" w:rsidRPr="00C55ADB" w:rsidRDefault="00512709">
            <w:pPr>
              <w:suppressAutoHyphens w:val="0"/>
              <w:spacing w:before="120" w:after="120"/>
              <w:rPr>
                <w:rFonts w:ascii="Arial" w:hAnsi="Arial" w:cs="Arial"/>
                <w:bCs/>
                <w:i/>
                <w:iCs/>
                <w:sz w:val="22"/>
                <w:szCs w:val="22"/>
              </w:rPr>
            </w:pPr>
            <w:r w:rsidRPr="00C55ADB">
              <w:rPr>
                <w:rFonts w:ascii="Arial" w:hAnsi="Arial" w:cs="Arial"/>
                <w:bCs/>
                <w:i/>
                <w:iCs/>
                <w:sz w:val="22"/>
                <w:szCs w:val="22"/>
              </w:rPr>
              <w:t>“</w:t>
            </w:r>
            <w:proofErr w:type="gramStart"/>
            <w:r w:rsidRPr="00C55ADB">
              <w:rPr>
                <w:rFonts w:ascii="Arial" w:hAnsi="Arial" w:cs="Arial"/>
                <w:bCs/>
                <w:i/>
                <w:iCs/>
                <w:sz w:val="22"/>
                <w:szCs w:val="22"/>
              </w:rPr>
              <w:t>o</w:t>
            </w:r>
            <w:proofErr w:type="spellStart"/>
            <w:r w:rsidRPr="00C55ADB">
              <w:rPr>
                <w:rFonts w:ascii="Arial" w:hAnsi="Arial" w:cs="Arial"/>
                <w:bCs/>
                <w:i/>
                <w:iCs/>
                <w:sz w:val="22"/>
                <w:szCs w:val="22"/>
                <w:lang w:val="en-NZ"/>
              </w:rPr>
              <w:t>verall</w:t>
            </w:r>
            <w:proofErr w:type="spellEnd"/>
            <w:proofErr w:type="gramEnd"/>
            <w:r w:rsidRPr="00C55ADB">
              <w:rPr>
                <w:rFonts w:ascii="Arial" w:hAnsi="Arial" w:cs="Arial"/>
                <w:bCs/>
                <w:i/>
                <w:iCs/>
                <w:sz w:val="22"/>
                <w:szCs w:val="22"/>
                <w:lang w:val="en-NZ"/>
              </w:rPr>
              <w:t>, these PSGEs considered that mixed progress was being made to deliver their commitments. PSGEs viewed the Treaty relationship as being broadly constructive but impacted by several factors. PSGEs noted the significant time and resources required to hold agencies to account for settlement commitment delivery. PSGEs also noted that maintaining the integrity of settlement commitments often demands reactive engagement, such as preparing submissions in response to government policy changes that could impact on Treaty settlements and broader interests.</w:t>
            </w:r>
            <w:r w:rsidRPr="00C55ADB">
              <w:rPr>
                <w:rFonts w:ascii="Arial" w:hAnsi="Arial" w:cs="Arial"/>
                <w:bCs/>
                <w:i/>
                <w:iCs/>
                <w:sz w:val="22"/>
                <w:szCs w:val="22"/>
              </w:rPr>
              <w:t xml:space="preserve">  </w:t>
            </w:r>
            <w:r w:rsidRPr="00C55ADB">
              <w:rPr>
                <w:rFonts w:ascii="Arial" w:hAnsi="Arial" w:cs="Arial"/>
                <w:bCs/>
                <w:i/>
                <w:iCs/>
                <w:sz w:val="22"/>
                <w:szCs w:val="22"/>
                <w:lang w:val="en-NZ"/>
              </w:rPr>
              <w:t>Common themes have emerged across agency data and PSGE insights. One recurring theme is that when delivery of settlements does stall, this is often viewed by PSGEs to be due to inconsistent engagement or lack of follow-through on the part of agencies</w:t>
            </w:r>
            <w:r w:rsidRPr="00C55ADB">
              <w:rPr>
                <w:rFonts w:ascii="Arial" w:hAnsi="Arial" w:cs="Arial"/>
                <w:bCs/>
                <w:i/>
                <w:iCs/>
                <w:sz w:val="22"/>
                <w:szCs w:val="22"/>
              </w:rPr>
              <w:t>.”</w:t>
            </w:r>
          </w:p>
          <w:p w14:paraId="2CCC7D4B" w14:textId="77777777" w:rsidR="00512709" w:rsidRPr="00C55ADB" w:rsidRDefault="00512709">
            <w:pPr>
              <w:suppressAutoHyphens w:val="0"/>
              <w:spacing w:before="120" w:after="120"/>
              <w:rPr>
                <w:rFonts w:ascii="Arial" w:hAnsi="Arial" w:cs="Arial"/>
                <w:bCs/>
                <w:sz w:val="22"/>
                <w:szCs w:val="22"/>
                <w:lang w:val="en-US"/>
              </w:rPr>
            </w:pPr>
          </w:p>
          <w:p w14:paraId="3BEF745C" w14:textId="77777777" w:rsidR="00512709" w:rsidRPr="00C55ADB" w:rsidRDefault="00512709">
            <w:pPr>
              <w:suppressAutoHyphens w:val="0"/>
              <w:spacing w:before="120" w:after="120"/>
              <w:rPr>
                <w:rFonts w:ascii="Arial" w:hAnsi="Arial" w:cs="Arial"/>
                <w:bCs/>
                <w:sz w:val="22"/>
                <w:szCs w:val="22"/>
                <w:lang w:val="en-US"/>
              </w:rPr>
            </w:pPr>
            <w:r w:rsidRPr="00C55ADB">
              <w:rPr>
                <w:rFonts w:ascii="Arial" w:hAnsi="Arial" w:cs="Arial"/>
                <w:bCs/>
                <w:sz w:val="22"/>
                <w:szCs w:val="22"/>
                <w:lang w:val="en-US"/>
              </w:rPr>
              <w:t>The report also reiterates recommendations made in the first report (2024) and in a separate Auditor-General’s report but does not fully respond to whether these are being actively considered.   (I.e. the last report reported agency chief executives have Treaty settlement delivery matters included in their performance expectations).</w:t>
            </w:r>
          </w:p>
        </w:tc>
      </w:tr>
      <w:tr w:rsidR="00512709" w:rsidRPr="0065283F" w14:paraId="5CEFA290" w14:textId="77777777" w:rsidTr="0067458B">
        <w:trPr>
          <w:trHeight w:val="454"/>
        </w:trPr>
        <w:tc>
          <w:tcPr>
            <w:tcW w:w="1819" w:type="dxa"/>
            <w:vMerge/>
          </w:tcPr>
          <w:p w14:paraId="4ACEA038" w14:textId="77777777" w:rsidR="00512709" w:rsidRPr="00C55ADB" w:rsidRDefault="00512709">
            <w:pPr>
              <w:suppressAutoHyphens w:val="0"/>
              <w:rPr>
                <w:rFonts w:ascii="Arial" w:hAnsi="Arial" w:cs="Arial"/>
                <w:b/>
                <w:sz w:val="22"/>
                <w:szCs w:val="22"/>
              </w:rPr>
            </w:pPr>
          </w:p>
        </w:tc>
        <w:tc>
          <w:tcPr>
            <w:tcW w:w="1525" w:type="dxa"/>
          </w:tcPr>
          <w:p w14:paraId="73E5745C" w14:textId="77777777" w:rsidR="00512709" w:rsidRPr="00C55ADB" w:rsidRDefault="00512709">
            <w:pPr>
              <w:suppressAutoHyphens w:val="0"/>
              <w:spacing w:before="120" w:after="120"/>
              <w:rPr>
                <w:rFonts w:ascii="Arial" w:hAnsi="Arial" w:cs="Arial"/>
                <w:sz w:val="22"/>
                <w:szCs w:val="22"/>
              </w:rPr>
            </w:pPr>
            <w:r w:rsidRPr="00C55ADB">
              <w:rPr>
                <w:rFonts w:ascii="Arial" w:hAnsi="Arial" w:cs="Arial"/>
                <w:sz w:val="22"/>
                <w:szCs w:val="22"/>
              </w:rPr>
              <w:t>Quality rating:</w:t>
            </w:r>
          </w:p>
        </w:tc>
        <w:tc>
          <w:tcPr>
            <w:tcW w:w="6337" w:type="dxa"/>
          </w:tcPr>
          <w:p w14:paraId="44ADDC77" w14:textId="77777777" w:rsidR="00512709" w:rsidRPr="00C55ADB" w:rsidRDefault="00512709">
            <w:pPr>
              <w:suppressAutoHyphens w:val="0"/>
              <w:spacing w:before="120" w:after="120"/>
              <w:rPr>
                <w:rFonts w:ascii="Arial" w:hAnsi="Arial" w:cs="Arial"/>
                <w:bCs/>
                <w:sz w:val="22"/>
                <w:szCs w:val="22"/>
              </w:rPr>
            </w:pPr>
            <w:r w:rsidRPr="00764CD7">
              <w:rPr>
                <w:rFonts w:ascii="Arial" w:hAnsi="Arial" w:cs="Arial"/>
                <w:sz w:val="22"/>
                <w:szCs w:val="18"/>
              </w:rPr>
              <w:t>Good</w:t>
            </w:r>
          </w:p>
        </w:tc>
      </w:tr>
      <w:tr w:rsidR="00512709" w:rsidRPr="0065283F" w14:paraId="3B0128E7" w14:textId="77777777" w:rsidTr="0067458B">
        <w:trPr>
          <w:trHeight w:val="454"/>
        </w:trPr>
        <w:tc>
          <w:tcPr>
            <w:tcW w:w="1819" w:type="dxa"/>
            <w:vMerge/>
          </w:tcPr>
          <w:p w14:paraId="703C4647" w14:textId="77777777" w:rsidR="00512709" w:rsidRPr="00C55ADB" w:rsidRDefault="00512709">
            <w:pPr>
              <w:suppressAutoHyphens w:val="0"/>
              <w:rPr>
                <w:rFonts w:ascii="Arial" w:hAnsi="Arial" w:cs="Arial"/>
                <w:b/>
                <w:sz w:val="22"/>
                <w:szCs w:val="22"/>
              </w:rPr>
            </w:pPr>
          </w:p>
        </w:tc>
        <w:tc>
          <w:tcPr>
            <w:tcW w:w="1525" w:type="dxa"/>
          </w:tcPr>
          <w:p w14:paraId="5360F512" w14:textId="77777777" w:rsidR="00512709" w:rsidRPr="00C55ADB" w:rsidRDefault="00512709">
            <w:pPr>
              <w:suppressAutoHyphens w:val="0"/>
              <w:spacing w:before="120" w:after="120"/>
              <w:rPr>
                <w:rFonts w:ascii="Arial" w:hAnsi="Arial" w:cs="Arial"/>
                <w:sz w:val="22"/>
                <w:szCs w:val="22"/>
              </w:rPr>
            </w:pPr>
            <w:r w:rsidRPr="00C55ADB">
              <w:rPr>
                <w:rFonts w:ascii="Arial" w:hAnsi="Arial" w:cs="Arial"/>
                <w:sz w:val="22"/>
                <w:szCs w:val="22"/>
              </w:rPr>
              <w:t>Assessment rationale summary:</w:t>
            </w:r>
          </w:p>
        </w:tc>
        <w:tc>
          <w:tcPr>
            <w:tcW w:w="6337" w:type="dxa"/>
          </w:tcPr>
          <w:p w14:paraId="49A6A74E" w14:textId="77777777" w:rsidR="00512709" w:rsidRPr="00C55ADB" w:rsidRDefault="00512709">
            <w:pPr>
              <w:suppressAutoHyphens w:val="0"/>
              <w:spacing w:before="120" w:after="120"/>
              <w:rPr>
                <w:rFonts w:ascii="Arial" w:hAnsi="Arial" w:cs="Arial"/>
                <w:bCs/>
                <w:sz w:val="22"/>
                <w:szCs w:val="22"/>
              </w:rPr>
            </w:pPr>
            <w:r w:rsidRPr="00C55ADB">
              <w:rPr>
                <w:rFonts w:ascii="Arial" w:hAnsi="Arial" w:cs="Arial"/>
                <w:bCs/>
                <w:sz w:val="22"/>
                <w:szCs w:val="22"/>
              </w:rPr>
              <w:t>We rated this report as good for the following reasons:</w:t>
            </w:r>
          </w:p>
          <w:p w14:paraId="196D272B" w14:textId="77777777" w:rsidR="00512709" w:rsidRPr="00C55ADB" w:rsidRDefault="00512709" w:rsidP="00512709">
            <w:pPr>
              <w:numPr>
                <w:ilvl w:val="0"/>
                <w:numId w:val="7"/>
              </w:numPr>
              <w:suppressAutoHyphens w:val="0"/>
              <w:spacing w:before="120" w:after="120"/>
              <w:rPr>
                <w:rFonts w:ascii="Arial" w:hAnsi="Arial" w:cs="Arial"/>
                <w:bCs/>
                <w:sz w:val="22"/>
                <w:szCs w:val="22"/>
              </w:rPr>
            </w:pPr>
            <w:r w:rsidRPr="00C55ADB">
              <w:rPr>
                <w:rFonts w:ascii="Arial" w:hAnsi="Arial" w:cs="Arial"/>
                <w:bCs/>
                <w:sz w:val="22"/>
                <w:szCs w:val="22"/>
              </w:rPr>
              <w:t xml:space="preserve">In terms of its purpose - to provide an overarching update on Tiriti settlements - the data is clearly set </w:t>
            </w:r>
            <w:proofErr w:type="gramStart"/>
            <w:r w:rsidRPr="00C55ADB">
              <w:rPr>
                <w:rFonts w:ascii="Arial" w:hAnsi="Arial" w:cs="Arial"/>
                <w:bCs/>
                <w:sz w:val="22"/>
                <w:szCs w:val="22"/>
              </w:rPr>
              <w:t>out;</w:t>
            </w:r>
            <w:proofErr w:type="gramEnd"/>
            <w:r w:rsidRPr="00C55ADB">
              <w:rPr>
                <w:rFonts w:ascii="Arial" w:hAnsi="Arial" w:cs="Arial"/>
                <w:bCs/>
                <w:sz w:val="22"/>
                <w:szCs w:val="22"/>
              </w:rPr>
              <w:t xml:space="preserve"> </w:t>
            </w:r>
          </w:p>
          <w:p w14:paraId="6CF92CA6" w14:textId="4EE41220" w:rsidR="00512709" w:rsidRPr="00C55ADB" w:rsidRDefault="00512709">
            <w:pPr>
              <w:numPr>
                <w:ilvl w:val="0"/>
                <w:numId w:val="7"/>
              </w:numPr>
              <w:suppressAutoHyphens w:val="0"/>
              <w:spacing w:before="120" w:after="120"/>
              <w:rPr>
                <w:rFonts w:ascii="Arial" w:hAnsi="Arial" w:cs="Arial"/>
                <w:bCs/>
                <w:sz w:val="22"/>
                <w:szCs w:val="22"/>
              </w:rPr>
            </w:pPr>
            <w:r w:rsidRPr="00C55ADB">
              <w:rPr>
                <w:rFonts w:ascii="Arial" w:hAnsi="Arial" w:cs="Arial"/>
                <w:bCs/>
                <w:sz w:val="22"/>
                <w:szCs w:val="22"/>
              </w:rPr>
              <w:t xml:space="preserve">There is some degree of verification of progress (and constraints) from iwi / Māori entities. </w:t>
            </w:r>
          </w:p>
          <w:p w14:paraId="2E32D790" w14:textId="77777777" w:rsidR="00512709" w:rsidRPr="00C55ADB" w:rsidRDefault="00512709">
            <w:pPr>
              <w:suppressAutoHyphens w:val="0"/>
              <w:spacing w:before="120" w:after="120"/>
              <w:rPr>
                <w:rFonts w:ascii="Arial" w:hAnsi="Arial" w:cs="Arial"/>
                <w:bCs/>
                <w:sz w:val="22"/>
                <w:szCs w:val="22"/>
              </w:rPr>
            </w:pPr>
            <w:r w:rsidRPr="00C55ADB">
              <w:rPr>
                <w:rFonts w:ascii="Arial" w:hAnsi="Arial" w:cs="Arial"/>
                <w:bCs/>
                <w:sz w:val="22"/>
                <w:szCs w:val="22"/>
              </w:rPr>
              <w:t>Where this report could improve the most is in the following areas:</w:t>
            </w:r>
          </w:p>
          <w:p w14:paraId="6F848182" w14:textId="77777777" w:rsidR="00512709" w:rsidRPr="00C55ADB" w:rsidRDefault="00512709" w:rsidP="00512709">
            <w:pPr>
              <w:numPr>
                <w:ilvl w:val="0"/>
                <w:numId w:val="7"/>
              </w:numPr>
              <w:suppressAutoHyphens w:val="0"/>
              <w:spacing w:before="120" w:after="120"/>
              <w:rPr>
                <w:rFonts w:ascii="Arial" w:hAnsi="Arial" w:cs="Arial"/>
                <w:bCs/>
                <w:sz w:val="22"/>
                <w:szCs w:val="22"/>
              </w:rPr>
            </w:pPr>
            <w:r w:rsidRPr="00C55ADB">
              <w:rPr>
                <w:rFonts w:ascii="Arial" w:hAnsi="Arial" w:cs="Arial"/>
                <w:bCs/>
                <w:sz w:val="22"/>
                <w:szCs w:val="22"/>
              </w:rPr>
              <w:t xml:space="preserve">Clarifying what actions (if any) are underway in terms of past recommendations and the development of current recommendations for the public </w:t>
            </w:r>
            <w:proofErr w:type="gramStart"/>
            <w:r w:rsidRPr="00C55ADB">
              <w:rPr>
                <w:rFonts w:ascii="Arial" w:hAnsi="Arial" w:cs="Arial"/>
                <w:bCs/>
                <w:sz w:val="22"/>
                <w:szCs w:val="22"/>
              </w:rPr>
              <w:t>sector;</w:t>
            </w:r>
            <w:proofErr w:type="gramEnd"/>
          </w:p>
          <w:p w14:paraId="49693C08" w14:textId="77777777" w:rsidR="00512709" w:rsidRPr="00C55ADB" w:rsidRDefault="00512709" w:rsidP="00512709">
            <w:pPr>
              <w:numPr>
                <w:ilvl w:val="0"/>
                <w:numId w:val="7"/>
              </w:numPr>
              <w:suppressAutoHyphens w:val="0"/>
              <w:spacing w:before="120" w:after="120"/>
              <w:rPr>
                <w:rFonts w:ascii="Arial" w:hAnsi="Arial" w:cs="Arial"/>
                <w:bCs/>
                <w:sz w:val="22"/>
                <w:szCs w:val="22"/>
              </w:rPr>
            </w:pPr>
            <w:r w:rsidRPr="00C55ADB">
              <w:rPr>
                <w:rFonts w:ascii="Arial" w:hAnsi="Arial" w:cs="Arial"/>
                <w:bCs/>
                <w:sz w:val="22"/>
                <w:szCs w:val="22"/>
              </w:rPr>
              <w:t xml:space="preserve">Further work to embed iwi / Māori verification processes to be assured groups are content – particularly in the context of wider levels of political discontent being expressed in Parliamentary submissions by </w:t>
            </w:r>
            <w:proofErr w:type="gramStart"/>
            <w:r w:rsidRPr="00C55ADB">
              <w:rPr>
                <w:rFonts w:ascii="Arial" w:hAnsi="Arial" w:cs="Arial"/>
                <w:bCs/>
                <w:sz w:val="22"/>
                <w:szCs w:val="22"/>
              </w:rPr>
              <w:t>iwi;</w:t>
            </w:r>
            <w:proofErr w:type="gramEnd"/>
          </w:p>
          <w:p w14:paraId="6530D6A5" w14:textId="77777777" w:rsidR="00512709" w:rsidRPr="00C55ADB" w:rsidRDefault="00512709" w:rsidP="00512709">
            <w:pPr>
              <w:numPr>
                <w:ilvl w:val="0"/>
                <w:numId w:val="7"/>
              </w:numPr>
              <w:suppressAutoHyphens w:val="0"/>
              <w:spacing w:before="120" w:after="120"/>
              <w:rPr>
                <w:rFonts w:ascii="Arial" w:hAnsi="Arial" w:cs="Arial"/>
                <w:bCs/>
                <w:sz w:val="22"/>
                <w:szCs w:val="22"/>
              </w:rPr>
            </w:pPr>
            <w:r w:rsidRPr="00C55ADB">
              <w:rPr>
                <w:rFonts w:ascii="Arial" w:hAnsi="Arial" w:cs="Arial"/>
                <w:bCs/>
                <w:sz w:val="22"/>
                <w:szCs w:val="22"/>
              </w:rPr>
              <w:t>Creating a direct link with the Section 8i (Waitangi Tribunal recommendations) report also authored by Te Puni Kōkiri (surely recommendations for settlement and settlement process actions are two sides of the same coin</w:t>
            </w:r>
            <w:proofErr w:type="gramStart"/>
            <w:r w:rsidRPr="00C55ADB">
              <w:rPr>
                <w:rFonts w:ascii="Arial" w:hAnsi="Arial" w:cs="Arial"/>
                <w:bCs/>
                <w:sz w:val="22"/>
                <w:szCs w:val="22"/>
              </w:rPr>
              <w:t>);</w:t>
            </w:r>
            <w:proofErr w:type="gramEnd"/>
          </w:p>
          <w:p w14:paraId="1DA76CAF" w14:textId="77777777" w:rsidR="00512709" w:rsidRPr="00C55ADB" w:rsidRDefault="00512709">
            <w:pPr>
              <w:suppressAutoHyphens w:val="0"/>
              <w:spacing w:before="120" w:after="120"/>
              <w:rPr>
                <w:rFonts w:ascii="Arial" w:hAnsi="Arial" w:cs="Arial"/>
                <w:bCs/>
                <w:sz w:val="22"/>
                <w:szCs w:val="22"/>
              </w:rPr>
            </w:pPr>
            <w:r w:rsidRPr="00C55ADB">
              <w:rPr>
                <w:rFonts w:ascii="Arial" w:hAnsi="Arial" w:cs="Arial"/>
                <w:bCs/>
                <w:sz w:val="22"/>
                <w:szCs w:val="22"/>
              </w:rPr>
              <w:t>Better clarifying how many settlements remain, and the fiscal quantum of settlements and related activities.  (This is the main report on Treaty settlement matters and many New Zealanders are interested in such things.)</w:t>
            </w:r>
          </w:p>
        </w:tc>
      </w:tr>
    </w:tbl>
    <w:p w14:paraId="2F21C1D1" w14:textId="77777777" w:rsidR="00512709" w:rsidRDefault="00512709" w:rsidP="00512709">
      <w:pPr>
        <w:tabs>
          <w:tab w:val="left" w:pos="5022"/>
        </w:tabs>
        <w:suppressAutoHyphens w:val="0"/>
        <w:spacing w:after="240"/>
        <w:rPr>
          <w:rFonts w:ascii="Arial" w:hAnsi="Arial" w:cs="Arial"/>
          <w:b/>
          <w:szCs w:val="24"/>
        </w:rPr>
      </w:pPr>
    </w:p>
    <w:p w14:paraId="21B84060" w14:textId="77777777" w:rsidR="00C55ADB" w:rsidRDefault="00C55ADB">
      <w:pPr>
        <w:suppressAutoHyphens w:val="0"/>
        <w:rPr>
          <w:rFonts w:ascii="Arial" w:hAnsi="Arial" w:cs="Arial"/>
          <w:b/>
          <w:szCs w:val="24"/>
        </w:rPr>
      </w:pPr>
      <w:bookmarkStart w:id="21" w:name="aa4"/>
      <w:r>
        <w:rPr>
          <w:rFonts w:ascii="Arial" w:hAnsi="Arial" w:cs="Arial"/>
          <w:b/>
          <w:szCs w:val="24"/>
        </w:rPr>
        <w:br w:type="page"/>
      </w:r>
    </w:p>
    <w:p w14:paraId="5536BDBB" w14:textId="3273DB19" w:rsidR="007E48D9" w:rsidRPr="00512709" w:rsidRDefault="007C6647" w:rsidP="00512709">
      <w:pPr>
        <w:tabs>
          <w:tab w:val="left" w:pos="5022"/>
        </w:tabs>
        <w:suppressAutoHyphens w:val="0"/>
        <w:spacing w:after="240"/>
        <w:rPr>
          <w:rFonts w:ascii="Arial" w:hAnsi="Arial" w:cs="Arial"/>
          <w:b/>
          <w:szCs w:val="24"/>
        </w:rPr>
      </w:pPr>
      <w:r w:rsidRPr="00020AB0">
        <w:rPr>
          <w:rFonts w:ascii="Arial" w:hAnsi="Arial" w:cs="Arial"/>
          <w:b/>
          <w:szCs w:val="24"/>
        </w:rPr>
        <w:t>Appendix 4 – P</w:t>
      </w:r>
      <w:r w:rsidR="00CD497D" w:rsidRPr="00020AB0">
        <w:rPr>
          <w:rFonts w:ascii="Arial" w:hAnsi="Arial" w:cs="Arial"/>
          <w:b/>
          <w:szCs w:val="24"/>
        </w:rPr>
        <w:t xml:space="preserve">arliamentary and Related </w:t>
      </w:r>
      <w:r w:rsidRPr="00020AB0">
        <w:rPr>
          <w:rFonts w:ascii="Arial" w:hAnsi="Arial" w:cs="Arial"/>
          <w:b/>
          <w:szCs w:val="24"/>
        </w:rPr>
        <w:t>Matters</w:t>
      </w:r>
      <w:bookmarkEnd w:id="16"/>
      <w:r w:rsidR="00512709">
        <w:rPr>
          <w:rFonts w:ascii="Arial" w:hAnsi="Arial" w:cs="Arial"/>
          <w:b/>
          <w:szCs w:val="24"/>
        </w:rPr>
        <w:t xml:space="preserve"> </w:t>
      </w:r>
      <w:bookmarkEnd w:id="17"/>
    </w:p>
    <w:tbl>
      <w:tblPr>
        <w:tblStyle w:val="TableGrid"/>
        <w:tblW w:w="0" w:type="auto"/>
        <w:tblInd w:w="-856" w:type="dxa"/>
        <w:tblLook w:val="04A0" w:firstRow="1" w:lastRow="0" w:firstColumn="1" w:lastColumn="0" w:noHBand="0" w:noVBand="1"/>
      </w:tblPr>
      <w:tblGrid>
        <w:gridCol w:w="1819"/>
        <w:gridCol w:w="1525"/>
        <w:gridCol w:w="6337"/>
      </w:tblGrid>
      <w:tr w:rsidR="000C6175" w:rsidRPr="00C13141" w14:paraId="56ADCBDC" w14:textId="77777777" w:rsidTr="0067458B">
        <w:trPr>
          <w:trHeight w:val="2574"/>
        </w:trPr>
        <w:tc>
          <w:tcPr>
            <w:tcW w:w="1819" w:type="dxa"/>
          </w:tcPr>
          <w:bookmarkEnd w:id="18"/>
          <w:bookmarkEnd w:id="21"/>
          <w:p w14:paraId="129DD076" w14:textId="5FC8D25E" w:rsidR="000C6175" w:rsidRPr="002C602F" w:rsidRDefault="0082159C">
            <w:pPr>
              <w:suppressAutoHyphens w:val="0"/>
              <w:spacing w:before="120"/>
              <w:rPr>
                <w:rFonts w:ascii="Arial" w:hAnsi="Arial" w:cs="Arial"/>
                <w:b/>
                <w:sz w:val="22"/>
                <w:szCs w:val="22"/>
              </w:rPr>
            </w:pPr>
            <w:r>
              <w:rPr>
                <w:rFonts w:ascii="Arial" w:hAnsi="Arial" w:cs="Arial"/>
                <w:b/>
                <w:sz w:val="22"/>
                <w:szCs w:val="22"/>
              </w:rPr>
              <w:t>Electoral</w:t>
            </w:r>
          </w:p>
          <w:p w14:paraId="4B52FE7B" w14:textId="77777777" w:rsidR="000C6175" w:rsidRPr="002C602F" w:rsidRDefault="000C6175">
            <w:pPr>
              <w:suppressAutoHyphens w:val="0"/>
              <w:rPr>
                <w:rFonts w:ascii="Arial" w:hAnsi="Arial" w:cs="Arial"/>
                <w:b/>
                <w:sz w:val="22"/>
                <w:szCs w:val="22"/>
              </w:rPr>
            </w:pPr>
          </w:p>
          <w:p w14:paraId="49F996B1" w14:textId="77777777" w:rsidR="000C6175" w:rsidRPr="00E64C93" w:rsidRDefault="000C6175">
            <w:pPr>
              <w:rPr>
                <w:rFonts w:ascii="Arial" w:hAnsi="Arial" w:cs="Arial"/>
                <w:b/>
              </w:rPr>
            </w:pPr>
            <w:r w:rsidRPr="002C602F">
              <w:rPr>
                <w:rFonts w:ascii="Arial" w:hAnsi="Arial" w:cs="Arial"/>
                <w:b/>
                <w:sz w:val="22"/>
                <w:szCs w:val="22"/>
              </w:rPr>
              <w:t xml:space="preserve">Pānui </w:t>
            </w:r>
            <w:r>
              <w:rPr>
                <w:rFonts w:ascii="Arial" w:hAnsi="Arial" w:cs="Arial"/>
                <w:b/>
                <w:sz w:val="22"/>
                <w:szCs w:val="22"/>
              </w:rPr>
              <w:t>04</w:t>
            </w:r>
            <w:r w:rsidRPr="002C602F">
              <w:rPr>
                <w:rFonts w:ascii="Arial" w:hAnsi="Arial" w:cs="Arial"/>
                <w:b/>
                <w:sz w:val="22"/>
                <w:szCs w:val="22"/>
              </w:rPr>
              <w:t>/20</w:t>
            </w:r>
            <w:r>
              <w:rPr>
                <w:rFonts w:ascii="Arial" w:hAnsi="Arial" w:cs="Arial"/>
                <w:b/>
                <w:sz w:val="22"/>
                <w:szCs w:val="22"/>
              </w:rPr>
              <w:t>26</w:t>
            </w:r>
          </w:p>
        </w:tc>
        <w:tc>
          <w:tcPr>
            <w:tcW w:w="1525" w:type="dxa"/>
          </w:tcPr>
          <w:p w14:paraId="0716CE42" w14:textId="77777777" w:rsidR="000C6175" w:rsidRPr="00842CD7" w:rsidRDefault="000C6175">
            <w:pPr>
              <w:suppressAutoHyphens w:val="0"/>
              <w:spacing w:before="120" w:after="120"/>
              <w:rPr>
                <w:rFonts w:ascii="Arial" w:hAnsi="Arial" w:cs="Arial"/>
                <w:b/>
                <w:i/>
                <w:lang w:val="en-US"/>
              </w:rPr>
            </w:pPr>
            <w:r w:rsidRPr="00842CD7">
              <w:rPr>
                <w:rFonts w:ascii="Arial" w:hAnsi="Arial" w:cs="Arial"/>
                <w:b/>
                <w:i/>
                <w:sz w:val="20"/>
                <w:lang w:val="en-US"/>
              </w:rPr>
              <w:t>Electoral Law Matters</w:t>
            </w:r>
          </w:p>
        </w:tc>
        <w:tc>
          <w:tcPr>
            <w:tcW w:w="6337" w:type="dxa"/>
          </w:tcPr>
          <w:p w14:paraId="10F3782C" w14:textId="77777777" w:rsidR="000C6175" w:rsidRPr="00842CD7" w:rsidRDefault="000C6175">
            <w:pPr>
              <w:spacing w:before="120" w:after="120"/>
              <w:rPr>
                <w:rFonts w:ascii="Arial" w:hAnsi="Arial" w:cs="Arial"/>
                <w:sz w:val="22"/>
                <w:szCs w:val="22"/>
              </w:rPr>
            </w:pPr>
            <w:r w:rsidRPr="00842CD7">
              <w:rPr>
                <w:rFonts w:ascii="Arial" w:hAnsi="Arial" w:cs="Arial"/>
                <w:sz w:val="22"/>
                <w:szCs w:val="22"/>
              </w:rPr>
              <w:t xml:space="preserve">Another area of law amended in late December was the Electoral Act.  One change was closing the ‘enrolment to vote’ period to 13 days before an election.  Opponents say this will negatively impact on voter participation; </w:t>
            </w:r>
            <w:proofErr w:type="gramStart"/>
            <w:r w:rsidRPr="00842CD7">
              <w:rPr>
                <w:rFonts w:ascii="Arial" w:hAnsi="Arial" w:cs="Arial"/>
                <w:sz w:val="22"/>
                <w:szCs w:val="22"/>
              </w:rPr>
              <w:t>specifically</w:t>
            </w:r>
            <w:proofErr w:type="gramEnd"/>
            <w:r w:rsidRPr="00842CD7">
              <w:rPr>
                <w:rFonts w:ascii="Arial" w:hAnsi="Arial" w:cs="Arial"/>
                <w:sz w:val="22"/>
                <w:szCs w:val="22"/>
              </w:rPr>
              <w:t xml:space="preserve"> groups that have a high proportion of special votes, such as Māori.  Another change was removing the rights of prisoners to vote (Māori are a disproportionally high proportion of citizens in prison).  For further details refer to Pānui 22/2025, including why the then Attorney-General, Judith Collins, advised her own Government against these changes.</w:t>
            </w:r>
            <w:r w:rsidRPr="00842CD7">
              <w:rPr>
                <w:rFonts w:ascii="Arial" w:hAnsi="Arial" w:cs="Arial"/>
                <w:sz w:val="22"/>
                <w:szCs w:val="22"/>
                <w:vertAlign w:val="superscript"/>
              </w:rPr>
              <w:footnoteReference w:id="10"/>
            </w:r>
          </w:p>
          <w:p w14:paraId="6755DA51" w14:textId="77777777" w:rsidR="000C6175" w:rsidRPr="00842CD7" w:rsidRDefault="000C6175">
            <w:pPr>
              <w:spacing w:before="120" w:after="120"/>
              <w:rPr>
                <w:rFonts w:ascii="Arial" w:hAnsi="Arial" w:cs="Arial"/>
                <w:sz w:val="22"/>
                <w:szCs w:val="22"/>
              </w:rPr>
            </w:pPr>
            <w:r w:rsidRPr="00842CD7">
              <w:rPr>
                <w:rFonts w:ascii="Arial" w:hAnsi="Arial" w:cs="Arial"/>
                <w:sz w:val="22"/>
                <w:szCs w:val="22"/>
              </w:rPr>
              <w:t>We advise the changes made were not at all what the Independent Electoral Review Panel had recommended to the Government in 2024.  Conversely, the panel had focused on making voting easier and more accessible, such as allowing Māori to switch between the Māori or general rolls more readily.  Further, they also advised (amongst other things) that the Government should entrench the Māori parliamentary seats.  (Entrenchment means the seats could only be removed by a 75% super majority of Parliament, instead of the current simple majority of 51%.)  This brings us to current debates on Māori seats in Parliament.</w:t>
            </w:r>
          </w:p>
          <w:p w14:paraId="63A54751" w14:textId="77777777" w:rsidR="000C6175" w:rsidRPr="00842CD7" w:rsidRDefault="000C6175">
            <w:pPr>
              <w:spacing w:before="120" w:after="120"/>
              <w:rPr>
                <w:rFonts w:cs="Arial"/>
                <w:sz w:val="22"/>
                <w:szCs w:val="22"/>
              </w:rPr>
            </w:pPr>
          </w:p>
        </w:tc>
      </w:tr>
    </w:tbl>
    <w:p w14:paraId="553576B8" w14:textId="77777777" w:rsidR="000C6175" w:rsidRDefault="000C6175" w:rsidP="000C6175">
      <w:pPr>
        <w:suppressAutoHyphens w:val="0"/>
        <w:spacing w:after="160" w:line="259" w:lineRule="auto"/>
        <w:contextualSpacing/>
        <w:jc w:val="both"/>
        <w:rPr>
          <w:rFonts w:ascii="Arial" w:hAnsi="Arial" w:cs="Arial"/>
          <w:sz w:val="22"/>
          <w:szCs w:val="22"/>
        </w:rPr>
      </w:pPr>
    </w:p>
    <w:p w14:paraId="62ED221F" w14:textId="77777777" w:rsidR="000C6175" w:rsidRDefault="000C6175" w:rsidP="000C6175">
      <w:pPr>
        <w:suppressAutoHyphens w:val="0"/>
        <w:spacing w:after="160" w:line="259" w:lineRule="auto"/>
        <w:contextualSpacing/>
        <w:jc w:val="both"/>
        <w:rPr>
          <w:rFonts w:ascii="Arial" w:hAnsi="Arial" w:cs="Arial"/>
          <w:sz w:val="22"/>
          <w:szCs w:val="22"/>
        </w:rPr>
      </w:pPr>
    </w:p>
    <w:tbl>
      <w:tblPr>
        <w:tblStyle w:val="TableGrid"/>
        <w:tblW w:w="0" w:type="auto"/>
        <w:tblInd w:w="-856" w:type="dxa"/>
        <w:tblLook w:val="04A0" w:firstRow="1" w:lastRow="0" w:firstColumn="1" w:lastColumn="0" w:noHBand="0" w:noVBand="1"/>
      </w:tblPr>
      <w:tblGrid>
        <w:gridCol w:w="1798"/>
        <w:gridCol w:w="1721"/>
        <w:gridCol w:w="6162"/>
      </w:tblGrid>
      <w:tr w:rsidR="000C6175" w:rsidRPr="00C13141" w14:paraId="0B9E67CD" w14:textId="77777777" w:rsidTr="003714D2">
        <w:trPr>
          <w:trHeight w:val="2574"/>
        </w:trPr>
        <w:tc>
          <w:tcPr>
            <w:tcW w:w="1819" w:type="dxa"/>
          </w:tcPr>
          <w:p w14:paraId="33A34D9B" w14:textId="590766D2" w:rsidR="000C6175" w:rsidRPr="00C55ADB" w:rsidRDefault="0082159C">
            <w:pPr>
              <w:suppressAutoHyphens w:val="0"/>
              <w:spacing w:before="120"/>
              <w:rPr>
                <w:rFonts w:ascii="Arial" w:hAnsi="Arial" w:cs="Arial"/>
                <w:b/>
                <w:sz w:val="22"/>
                <w:szCs w:val="22"/>
              </w:rPr>
            </w:pPr>
            <w:r w:rsidRPr="00C55ADB">
              <w:rPr>
                <w:rFonts w:ascii="Arial" w:hAnsi="Arial" w:cs="Arial"/>
                <w:b/>
                <w:sz w:val="22"/>
                <w:szCs w:val="22"/>
              </w:rPr>
              <w:t>Parliament</w:t>
            </w:r>
          </w:p>
          <w:p w14:paraId="1AE4FADE" w14:textId="77777777" w:rsidR="000C6175" w:rsidRPr="00C55ADB" w:rsidRDefault="000C6175">
            <w:pPr>
              <w:suppressAutoHyphens w:val="0"/>
              <w:rPr>
                <w:rFonts w:ascii="Arial" w:hAnsi="Arial" w:cs="Arial"/>
                <w:b/>
                <w:sz w:val="22"/>
                <w:szCs w:val="22"/>
              </w:rPr>
            </w:pPr>
          </w:p>
          <w:p w14:paraId="5D78DC08" w14:textId="77777777" w:rsidR="000C6175" w:rsidRPr="00C55ADB" w:rsidRDefault="000C6175">
            <w:pPr>
              <w:rPr>
                <w:rFonts w:ascii="Arial" w:hAnsi="Arial" w:cs="Arial"/>
                <w:b/>
                <w:sz w:val="22"/>
                <w:szCs w:val="22"/>
              </w:rPr>
            </w:pPr>
            <w:r w:rsidRPr="00C55ADB">
              <w:rPr>
                <w:rFonts w:ascii="Arial" w:hAnsi="Arial" w:cs="Arial"/>
                <w:b/>
                <w:sz w:val="22"/>
                <w:szCs w:val="22"/>
              </w:rPr>
              <w:t>Pānui 04/2026</w:t>
            </w:r>
          </w:p>
        </w:tc>
        <w:tc>
          <w:tcPr>
            <w:tcW w:w="1525" w:type="dxa"/>
          </w:tcPr>
          <w:p w14:paraId="009E0064" w14:textId="77777777" w:rsidR="000C6175" w:rsidRPr="00C55ADB" w:rsidRDefault="000C6175">
            <w:pPr>
              <w:suppressAutoHyphens w:val="0"/>
              <w:spacing w:before="120" w:after="120"/>
              <w:rPr>
                <w:rFonts w:ascii="Arial" w:hAnsi="Arial" w:cs="Arial"/>
                <w:b/>
                <w:bCs/>
                <w:i/>
                <w:iCs/>
                <w:sz w:val="22"/>
                <w:szCs w:val="22"/>
              </w:rPr>
            </w:pPr>
            <w:r w:rsidRPr="00C55ADB">
              <w:rPr>
                <w:rFonts w:ascii="Arial" w:hAnsi="Arial" w:cs="Arial"/>
                <w:b/>
                <w:bCs/>
                <w:i/>
                <w:iCs/>
                <w:sz w:val="22"/>
                <w:szCs w:val="22"/>
              </w:rPr>
              <w:t>Māori representative seats in Parliament</w:t>
            </w:r>
          </w:p>
          <w:p w14:paraId="4881BBDE" w14:textId="77777777" w:rsidR="000C6175" w:rsidRPr="00C55ADB" w:rsidRDefault="000C6175">
            <w:pPr>
              <w:suppressAutoHyphens w:val="0"/>
              <w:spacing w:before="120" w:after="120"/>
              <w:rPr>
                <w:rFonts w:ascii="Arial" w:hAnsi="Arial" w:cs="Arial"/>
                <w:b/>
                <w:i/>
                <w:sz w:val="22"/>
                <w:szCs w:val="22"/>
                <w:lang w:val="en-US"/>
              </w:rPr>
            </w:pPr>
          </w:p>
        </w:tc>
        <w:tc>
          <w:tcPr>
            <w:tcW w:w="6337" w:type="dxa"/>
          </w:tcPr>
          <w:p w14:paraId="34110EB0" w14:textId="77777777" w:rsidR="000C6175" w:rsidRPr="00C55ADB" w:rsidRDefault="000C6175">
            <w:pPr>
              <w:spacing w:before="120" w:after="120"/>
              <w:rPr>
                <w:rFonts w:ascii="Arial" w:hAnsi="Arial" w:cs="Arial"/>
                <w:sz w:val="22"/>
                <w:szCs w:val="22"/>
              </w:rPr>
            </w:pPr>
            <w:r w:rsidRPr="00C55ADB">
              <w:rPr>
                <w:rFonts w:ascii="Arial" w:hAnsi="Arial" w:cs="Arial"/>
                <w:sz w:val="22"/>
                <w:szCs w:val="22"/>
              </w:rPr>
              <w:t>On this political front, last month Green Party Member of Parliament, Huhana Lyndon, announced she was creating a member’s bill to have these seats entrenched, to give surety to Māori.  Note Members of Parliament, not in Cabinet, get one member’s bill each, which goes into a ballot for possible consideration.  So, if selected, this bill will get introduced to Parliament and at least a first debate.  Hence Ms Lyndon essentially has about a one-in-a-hundred chance of her bill even getting considered.</w:t>
            </w:r>
          </w:p>
          <w:p w14:paraId="0D6D4F7B" w14:textId="77777777" w:rsidR="000C6175" w:rsidRPr="00C55ADB" w:rsidRDefault="000C6175">
            <w:pPr>
              <w:spacing w:before="120" w:after="120"/>
              <w:rPr>
                <w:rFonts w:ascii="Arial" w:hAnsi="Arial" w:cs="Arial"/>
                <w:sz w:val="22"/>
                <w:szCs w:val="22"/>
              </w:rPr>
            </w:pPr>
            <w:r w:rsidRPr="00C55ADB">
              <w:rPr>
                <w:rFonts w:ascii="Arial" w:hAnsi="Arial" w:cs="Arial"/>
                <w:sz w:val="22"/>
                <w:szCs w:val="22"/>
              </w:rPr>
              <w:t xml:space="preserve">Countering her view, </w:t>
            </w:r>
            <w:r w:rsidRPr="00C55ADB">
              <w:rPr>
                <w:rFonts w:ascii="Arial" w:hAnsi="Arial" w:cs="Arial"/>
                <w:sz w:val="22"/>
                <w:szCs w:val="22"/>
                <w:lang w:val="mi-NZ"/>
              </w:rPr>
              <w:t>New Zealand First leader, Winston Peters, last week called for a referendum on whether the seats should be retained, noting his view of poor behaviour from Te Pāti Māori as leading him to that position.  Hence, as expected, the value of Māori representative seats reads as an early electioneering item.  Before outlining our analysis we note the postions of political parties on this matter:</w:t>
            </w:r>
          </w:p>
          <w:p w14:paraId="358ED77C" w14:textId="77777777" w:rsidR="000C6175" w:rsidRPr="00C55ADB" w:rsidRDefault="000C6175">
            <w:pPr>
              <w:spacing w:before="120" w:after="120"/>
              <w:rPr>
                <w:rFonts w:ascii="Arial" w:hAnsi="Arial" w:cs="Arial"/>
                <w:b/>
                <w:bCs/>
                <w:sz w:val="22"/>
                <w:szCs w:val="22"/>
                <w:lang w:val="mi-NZ"/>
              </w:rPr>
            </w:pPr>
            <w:r w:rsidRPr="00C55ADB">
              <w:rPr>
                <w:rFonts w:ascii="Arial" w:hAnsi="Arial" w:cs="Arial"/>
                <w:b/>
                <w:bCs/>
                <w:sz w:val="22"/>
                <w:szCs w:val="22"/>
                <w:lang w:val="mi-NZ"/>
              </w:rPr>
              <w:t>Act: (Against)</w:t>
            </w:r>
          </w:p>
          <w:p w14:paraId="43ED738F" w14:textId="77777777" w:rsidR="000C6175" w:rsidRPr="00C55ADB" w:rsidRDefault="000C6175" w:rsidP="000C6175">
            <w:pPr>
              <w:numPr>
                <w:ilvl w:val="0"/>
                <w:numId w:val="27"/>
              </w:numPr>
              <w:spacing w:before="120" w:after="120"/>
              <w:rPr>
                <w:rFonts w:ascii="Arial" w:hAnsi="Arial" w:cs="Arial"/>
                <w:sz w:val="22"/>
                <w:szCs w:val="22"/>
                <w:lang w:val="mi-NZ"/>
              </w:rPr>
            </w:pPr>
            <w:r w:rsidRPr="00C55ADB">
              <w:rPr>
                <w:rFonts w:ascii="Arial" w:hAnsi="Arial" w:cs="Arial"/>
                <w:sz w:val="22"/>
                <w:szCs w:val="22"/>
                <w:lang w:val="mi-NZ"/>
              </w:rPr>
              <w:t xml:space="preserve">This party has long campaigned on the removal of these seats, as they view them as ‘race-based’ special rights.  So no need for a referendum in their view, just remove them.  </w:t>
            </w:r>
          </w:p>
          <w:p w14:paraId="077701AE" w14:textId="77777777" w:rsidR="000C6175" w:rsidRPr="00C55ADB" w:rsidRDefault="000C6175">
            <w:pPr>
              <w:spacing w:before="120" w:after="120"/>
              <w:rPr>
                <w:rFonts w:ascii="Arial" w:hAnsi="Arial" w:cs="Arial"/>
                <w:b/>
                <w:bCs/>
                <w:sz w:val="22"/>
                <w:szCs w:val="22"/>
                <w:lang w:val="mi-NZ"/>
              </w:rPr>
            </w:pPr>
            <w:r w:rsidRPr="00C55ADB">
              <w:rPr>
                <w:rFonts w:ascii="Arial" w:hAnsi="Arial" w:cs="Arial"/>
                <w:b/>
                <w:bCs/>
                <w:sz w:val="22"/>
                <w:szCs w:val="22"/>
                <w:lang w:val="mi-NZ"/>
              </w:rPr>
              <w:t>National: (Unsure)</w:t>
            </w:r>
          </w:p>
          <w:p w14:paraId="7B8823AF" w14:textId="77777777" w:rsidR="000C6175" w:rsidRPr="00C55ADB" w:rsidRDefault="000C6175" w:rsidP="000C6175">
            <w:pPr>
              <w:numPr>
                <w:ilvl w:val="0"/>
                <w:numId w:val="27"/>
              </w:numPr>
              <w:spacing w:before="120" w:after="120"/>
              <w:rPr>
                <w:rFonts w:ascii="Arial" w:hAnsi="Arial" w:cs="Arial"/>
                <w:sz w:val="22"/>
                <w:szCs w:val="22"/>
                <w:lang w:val="mi-NZ"/>
              </w:rPr>
            </w:pPr>
            <w:r w:rsidRPr="00C55ADB">
              <w:rPr>
                <w:rFonts w:ascii="Arial" w:hAnsi="Arial" w:cs="Arial"/>
                <w:sz w:val="22"/>
                <w:szCs w:val="22"/>
                <w:lang w:val="mi-NZ"/>
              </w:rPr>
              <w:t xml:space="preserve">This party is presently unclear of its views, with the Prime Minister, Chris Luxon, saying the caucus has not discussed the matter of late.  Former leader, Don Brash, was against the seats during his tenure, 2003-2006, and from then until 2023 they did not stand candidates in these electorates.  But this party did have a confidence and supply agreement with Te Pāti Māori between 2008-2017, so effectively drew upon the support of holders of some of these seats in order to govern.   </w:t>
            </w:r>
          </w:p>
          <w:p w14:paraId="30CDE89C" w14:textId="77777777" w:rsidR="000C6175" w:rsidRPr="00C55ADB" w:rsidRDefault="000C6175">
            <w:pPr>
              <w:spacing w:before="120" w:after="120"/>
              <w:rPr>
                <w:rFonts w:ascii="Arial" w:hAnsi="Arial" w:cs="Arial"/>
                <w:b/>
                <w:bCs/>
                <w:sz w:val="22"/>
                <w:szCs w:val="22"/>
                <w:lang w:val="mi-NZ"/>
              </w:rPr>
            </w:pPr>
          </w:p>
          <w:p w14:paraId="66618236" w14:textId="77777777" w:rsidR="000C6175" w:rsidRPr="00C55ADB" w:rsidRDefault="000C6175">
            <w:pPr>
              <w:spacing w:before="120" w:after="120"/>
              <w:rPr>
                <w:rFonts w:ascii="Arial" w:hAnsi="Arial" w:cs="Arial"/>
                <w:b/>
                <w:bCs/>
                <w:sz w:val="22"/>
                <w:szCs w:val="22"/>
                <w:lang w:val="mi-NZ"/>
              </w:rPr>
            </w:pPr>
            <w:r w:rsidRPr="00C55ADB">
              <w:rPr>
                <w:rFonts w:ascii="Arial" w:hAnsi="Arial" w:cs="Arial"/>
                <w:b/>
                <w:bCs/>
                <w:sz w:val="22"/>
                <w:szCs w:val="22"/>
                <w:lang w:val="mi-NZ"/>
              </w:rPr>
              <w:t>New Zealand First (Against):</w:t>
            </w:r>
          </w:p>
          <w:p w14:paraId="45CD2DC7" w14:textId="77777777" w:rsidR="000C6175" w:rsidRPr="00C55ADB" w:rsidRDefault="000C6175" w:rsidP="000C6175">
            <w:pPr>
              <w:numPr>
                <w:ilvl w:val="0"/>
                <w:numId w:val="27"/>
              </w:numPr>
              <w:spacing w:before="120" w:after="120"/>
              <w:rPr>
                <w:rFonts w:ascii="Arial" w:hAnsi="Arial" w:cs="Arial"/>
                <w:sz w:val="22"/>
                <w:szCs w:val="22"/>
              </w:rPr>
            </w:pPr>
            <w:r w:rsidRPr="00C55ADB">
              <w:rPr>
                <w:rFonts w:ascii="Arial" w:hAnsi="Arial" w:cs="Arial"/>
                <w:sz w:val="22"/>
                <w:szCs w:val="22"/>
                <w:lang w:val="mi-NZ"/>
              </w:rPr>
              <w:t>This party once won all the Māori seats (in 1996), but has not contested for these seats for over twenty years.  Party leader, Winston Peters, once stood for Northern Maori (he was defeated), before becoming the third Māori in modern times to be elected in a general seat, following a law change in 1967 which allowed Māori to stand in these seats.  His view that Māori can win general seats is thus supported by life experience.</w:t>
            </w:r>
          </w:p>
          <w:p w14:paraId="6B62152A" w14:textId="77777777" w:rsidR="000C6175" w:rsidRPr="00C55ADB" w:rsidRDefault="000C6175">
            <w:pPr>
              <w:spacing w:before="120" w:after="120"/>
              <w:rPr>
                <w:rFonts w:ascii="Arial" w:hAnsi="Arial" w:cs="Arial"/>
                <w:b/>
                <w:bCs/>
                <w:sz w:val="22"/>
                <w:szCs w:val="22"/>
                <w:lang w:val="mi-NZ"/>
              </w:rPr>
            </w:pPr>
            <w:r w:rsidRPr="00C55ADB">
              <w:rPr>
                <w:rFonts w:ascii="Arial" w:hAnsi="Arial" w:cs="Arial"/>
                <w:b/>
                <w:bCs/>
                <w:sz w:val="22"/>
                <w:szCs w:val="22"/>
                <w:lang w:val="mi-NZ"/>
              </w:rPr>
              <w:t>Labour Party (For):</w:t>
            </w:r>
          </w:p>
          <w:p w14:paraId="2CD2DF59" w14:textId="77777777" w:rsidR="000C6175" w:rsidRPr="00C55ADB" w:rsidRDefault="000C6175" w:rsidP="000C6175">
            <w:pPr>
              <w:numPr>
                <w:ilvl w:val="0"/>
                <w:numId w:val="27"/>
              </w:numPr>
              <w:spacing w:before="120" w:after="120"/>
              <w:rPr>
                <w:rFonts w:ascii="Arial" w:hAnsi="Arial" w:cs="Arial"/>
                <w:sz w:val="22"/>
                <w:szCs w:val="22"/>
              </w:rPr>
            </w:pPr>
            <w:r w:rsidRPr="00C55ADB">
              <w:rPr>
                <w:rFonts w:ascii="Arial" w:hAnsi="Arial" w:cs="Arial"/>
                <w:sz w:val="22"/>
                <w:szCs w:val="22"/>
                <w:lang w:val="mi-NZ"/>
              </w:rPr>
              <w:t xml:space="preserve">This party typically contests for all the Māori seats.  In 2018 then party member, </w:t>
            </w:r>
            <w:r w:rsidRPr="00C55ADB">
              <w:rPr>
                <w:rFonts w:ascii="Arial" w:hAnsi="Arial" w:cs="Arial"/>
                <w:sz w:val="22"/>
                <w:szCs w:val="22"/>
              </w:rPr>
              <w:t xml:space="preserve">Rino Tirikatene, introduced a bill to entrench these seats.  With support of New Zealand First it passed its first reading, and the Select Committee recommend the bill progress further.  But New Zealand First withdrew support (arguing a referendum was needed), so the bill failed at second reading in 2019.  However, when Labour was returned to power a year later in 2020 with a presiding majority, they chose not to progress the matter again - and never explained why.  </w:t>
            </w:r>
          </w:p>
          <w:p w14:paraId="30CF332C" w14:textId="77777777" w:rsidR="000C6175" w:rsidRPr="00C55ADB" w:rsidRDefault="000C6175">
            <w:pPr>
              <w:spacing w:before="120" w:after="120"/>
              <w:rPr>
                <w:rFonts w:ascii="Arial" w:hAnsi="Arial" w:cs="Arial"/>
                <w:b/>
                <w:bCs/>
                <w:sz w:val="22"/>
                <w:szCs w:val="22"/>
                <w:lang w:val="mi-NZ"/>
              </w:rPr>
            </w:pPr>
            <w:r w:rsidRPr="00C55ADB">
              <w:rPr>
                <w:rFonts w:ascii="Arial" w:hAnsi="Arial" w:cs="Arial"/>
                <w:b/>
                <w:bCs/>
                <w:sz w:val="22"/>
                <w:szCs w:val="22"/>
                <w:lang w:val="mi-NZ"/>
              </w:rPr>
              <w:t>Green Party (For):</w:t>
            </w:r>
          </w:p>
          <w:p w14:paraId="17EAF0A9" w14:textId="77777777" w:rsidR="000C6175" w:rsidRPr="00C55ADB" w:rsidRDefault="000C6175" w:rsidP="000C6175">
            <w:pPr>
              <w:numPr>
                <w:ilvl w:val="0"/>
                <w:numId w:val="27"/>
              </w:numPr>
              <w:spacing w:before="120" w:after="120"/>
              <w:rPr>
                <w:rFonts w:ascii="Arial" w:hAnsi="Arial" w:cs="Arial"/>
                <w:sz w:val="22"/>
                <w:szCs w:val="22"/>
              </w:rPr>
            </w:pPr>
            <w:r w:rsidRPr="00C55ADB">
              <w:rPr>
                <w:rFonts w:ascii="Arial" w:hAnsi="Arial" w:cs="Arial"/>
                <w:sz w:val="22"/>
                <w:szCs w:val="22"/>
                <w:lang w:val="mi-NZ"/>
              </w:rPr>
              <w:t>As above, they have a member’s bill in the ballot, although it’s worth noting entrenchment has appeared in their various policy statements for over a decade</w:t>
            </w:r>
            <w:r w:rsidRPr="00C55ADB">
              <w:rPr>
                <w:rFonts w:ascii="Arial" w:hAnsi="Arial" w:cs="Arial"/>
                <w:sz w:val="22"/>
                <w:szCs w:val="22"/>
              </w:rPr>
              <w:t xml:space="preserve">.  The media hype is </w:t>
            </w:r>
            <w:proofErr w:type="gramStart"/>
            <w:r w:rsidRPr="00C55ADB">
              <w:rPr>
                <w:rFonts w:ascii="Arial" w:hAnsi="Arial" w:cs="Arial"/>
                <w:sz w:val="22"/>
                <w:szCs w:val="22"/>
              </w:rPr>
              <w:t>new,</w:t>
            </w:r>
            <w:proofErr w:type="gramEnd"/>
            <w:r w:rsidRPr="00C55ADB">
              <w:rPr>
                <w:rFonts w:ascii="Arial" w:hAnsi="Arial" w:cs="Arial"/>
                <w:sz w:val="22"/>
                <w:szCs w:val="22"/>
              </w:rPr>
              <w:t xml:space="preserve"> their position is not.  </w:t>
            </w:r>
          </w:p>
          <w:p w14:paraId="2B1F366C" w14:textId="77777777" w:rsidR="000C6175" w:rsidRPr="00C55ADB" w:rsidRDefault="000C6175">
            <w:pPr>
              <w:spacing w:before="120" w:after="120"/>
              <w:rPr>
                <w:rFonts w:ascii="Arial" w:hAnsi="Arial" w:cs="Arial"/>
                <w:b/>
                <w:bCs/>
                <w:sz w:val="22"/>
                <w:szCs w:val="22"/>
                <w:lang w:val="mi-NZ"/>
              </w:rPr>
            </w:pPr>
            <w:r w:rsidRPr="00C55ADB">
              <w:rPr>
                <w:rFonts w:ascii="Arial" w:hAnsi="Arial" w:cs="Arial"/>
                <w:b/>
                <w:bCs/>
                <w:sz w:val="22"/>
                <w:szCs w:val="22"/>
                <w:lang w:val="mi-NZ"/>
              </w:rPr>
              <w:t>Te Pāti Māori (For):</w:t>
            </w:r>
          </w:p>
          <w:p w14:paraId="67779B75" w14:textId="77777777" w:rsidR="000C6175" w:rsidRPr="00C55ADB" w:rsidRDefault="000C6175" w:rsidP="000C6175">
            <w:pPr>
              <w:numPr>
                <w:ilvl w:val="0"/>
                <w:numId w:val="27"/>
              </w:numPr>
              <w:spacing w:before="120" w:after="120"/>
              <w:rPr>
                <w:rFonts w:ascii="Arial" w:hAnsi="Arial" w:cs="Arial"/>
                <w:sz w:val="22"/>
                <w:szCs w:val="22"/>
              </w:rPr>
            </w:pPr>
            <w:r w:rsidRPr="00C55ADB">
              <w:rPr>
                <w:rFonts w:ascii="Arial" w:hAnsi="Arial" w:cs="Arial"/>
                <w:sz w:val="22"/>
                <w:szCs w:val="22"/>
              </w:rPr>
              <w:t xml:space="preserve">This party started the current parliamentary term with six of the seven Māori seats, and due to infighting its factions hold five of them presently.  These are the only seats this party has ever won, so it’s been their only pathway into Parliament given they have never reached the 5% threshold needed for list member representation.  </w:t>
            </w:r>
          </w:p>
          <w:p w14:paraId="7293C99E" w14:textId="77777777" w:rsidR="000C6175" w:rsidRPr="00C55ADB" w:rsidRDefault="000C6175">
            <w:pPr>
              <w:spacing w:before="120" w:after="120"/>
              <w:rPr>
                <w:rFonts w:ascii="Arial" w:hAnsi="Arial" w:cs="Arial"/>
                <w:b/>
                <w:bCs/>
                <w:i/>
                <w:iCs/>
                <w:sz w:val="22"/>
                <w:szCs w:val="22"/>
              </w:rPr>
            </w:pPr>
            <w:r w:rsidRPr="00C55ADB">
              <w:rPr>
                <w:rFonts w:ascii="Arial" w:hAnsi="Arial" w:cs="Arial"/>
                <w:b/>
                <w:bCs/>
                <w:i/>
                <w:iCs/>
                <w:sz w:val="22"/>
                <w:szCs w:val="22"/>
              </w:rPr>
              <w:t>Situational Assessment and Opinion</w:t>
            </w:r>
          </w:p>
          <w:p w14:paraId="2AAAA4BE" w14:textId="77777777" w:rsidR="000C6175" w:rsidRPr="00C55ADB" w:rsidRDefault="000C6175" w:rsidP="000C6175">
            <w:pPr>
              <w:numPr>
                <w:ilvl w:val="0"/>
                <w:numId w:val="4"/>
              </w:numPr>
              <w:spacing w:before="120" w:after="120"/>
              <w:rPr>
                <w:rFonts w:ascii="Arial" w:hAnsi="Arial" w:cs="Arial"/>
                <w:sz w:val="22"/>
                <w:szCs w:val="22"/>
              </w:rPr>
            </w:pPr>
            <w:r w:rsidRPr="00C55ADB">
              <w:rPr>
                <w:rFonts w:ascii="Arial" w:hAnsi="Arial" w:cs="Arial"/>
                <w:sz w:val="22"/>
                <w:szCs w:val="22"/>
                <w:lang w:val="mi-NZ"/>
              </w:rPr>
              <w:t>In our assessment, all parliamentary seats should be entrenched for democractic stablity.  The present approach of having the general seats entrenched but not the Māori seats is also unbalanced: i.e. the rules should be even.  The current law risks one sided politicking, with some parties threatening the removal of others by changing the rules (as seems to be happening presently).  Hence we agree with the Independent Electoral Review Panel, essentially that entrenchment is necessary to stablise democratic processes - and also that other aspects of the election process should also be entrenched, including the right to vote, and the party vote threshold.</w:t>
            </w:r>
            <w:r w:rsidRPr="00C55ADB">
              <w:rPr>
                <w:rFonts w:ascii="Arial" w:hAnsi="Arial" w:cs="Arial"/>
                <w:sz w:val="22"/>
                <w:szCs w:val="22"/>
                <w:vertAlign w:val="superscript"/>
                <w:lang w:val="mi-NZ"/>
              </w:rPr>
              <w:footnoteReference w:id="11"/>
            </w:r>
            <w:r w:rsidRPr="00C55ADB">
              <w:rPr>
                <w:rFonts w:ascii="Arial" w:hAnsi="Arial" w:cs="Arial"/>
                <w:sz w:val="22"/>
                <w:szCs w:val="22"/>
                <w:lang w:val="mi-NZ"/>
              </w:rPr>
              <w:t xml:space="preserve">  Their report is here:</w:t>
            </w:r>
          </w:p>
          <w:p w14:paraId="6F7EC7B1" w14:textId="77777777" w:rsidR="000C6175" w:rsidRPr="00C55ADB" w:rsidRDefault="000C6175">
            <w:pPr>
              <w:spacing w:before="120" w:after="120"/>
              <w:rPr>
                <w:rFonts w:ascii="Arial" w:hAnsi="Arial" w:cs="Arial"/>
                <w:sz w:val="22"/>
                <w:szCs w:val="22"/>
              </w:rPr>
            </w:pPr>
            <w:hyperlink r:id="rId12" w:history="1">
              <w:r w:rsidRPr="00C55ADB">
                <w:rPr>
                  <w:rStyle w:val="Hyperlink"/>
                  <w:rFonts w:ascii="Arial" w:hAnsi="Arial" w:cs="Arial"/>
                  <w:sz w:val="22"/>
                  <w:szCs w:val="22"/>
                </w:rPr>
                <w:t>Independent Electoral Review | New Zealand Ministry of Justice</w:t>
              </w:r>
            </w:hyperlink>
          </w:p>
          <w:p w14:paraId="6DBFB3C1" w14:textId="77777777" w:rsidR="000C6175" w:rsidRPr="00C55ADB" w:rsidRDefault="000C6175" w:rsidP="000C6175">
            <w:pPr>
              <w:numPr>
                <w:ilvl w:val="0"/>
                <w:numId w:val="4"/>
              </w:numPr>
              <w:spacing w:before="120" w:after="120"/>
              <w:rPr>
                <w:rFonts w:ascii="Arial" w:hAnsi="Arial" w:cs="Arial"/>
                <w:sz w:val="22"/>
                <w:szCs w:val="22"/>
              </w:rPr>
            </w:pPr>
            <w:r w:rsidRPr="00C55ADB">
              <w:rPr>
                <w:rFonts w:ascii="Arial" w:hAnsi="Arial" w:cs="Arial"/>
                <w:sz w:val="22"/>
                <w:szCs w:val="22"/>
                <w:lang w:val="en-US"/>
              </w:rPr>
              <w:t xml:space="preserve">In terms of the Act Party view, i.e., that Māori seats undermine equal citizenship rights, we remain unconvinced.  Māori get no extra voting rights through the Māori electorate seats.  </w:t>
            </w:r>
          </w:p>
          <w:p w14:paraId="6E5FE706" w14:textId="77777777" w:rsidR="000C6175" w:rsidRPr="00C55ADB" w:rsidRDefault="000C6175" w:rsidP="000C6175">
            <w:pPr>
              <w:numPr>
                <w:ilvl w:val="0"/>
                <w:numId w:val="4"/>
              </w:numPr>
              <w:spacing w:before="120" w:after="120"/>
              <w:rPr>
                <w:rFonts w:ascii="Arial" w:hAnsi="Arial" w:cs="Arial"/>
                <w:sz w:val="22"/>
                <w:szCs w:val="22"/>
              </w:rPr>
            </w:pPr>
            <w:r w:rsidRPr="00C55ADB">
              <w:rPr>
                <w:rFonts w:ascii="Arial" w:hAnsi="Arial" w:cs="Arial"/>
                <w:sz w:val="22"/>
                <w:szCs w:val="22"/>
                <w:lang w:val="en-US"/>
              </w:rPr>
              <w:t>In terms of the New Zealand First view that a referendum should be held we remain unconvinced on that too.  First, because Parliament should have the strength to get on with the business members are elected to do (make governance decisions); and with that referenda are generally a poor solution for any constitutional developments.  Hence why the current Government did not seek a referendum on its present electoral reforms, such as changing voter rights (see the discussion above).</w:t>
            </w:r>
            <w:r w:rsidRPr="00C55ADB">
              <w:rPr>
                <w:rFonts w:ascii="Arial" w:hAnsi="Arial" w:cs="Arial"/>
                <w:sz w:val="22"/>
                <w:szCs w:val="22"/>
                <w:vertAlign w:val="superscript"/>
                <w:lang w:val="en-US"/>
              </w:rPr>
              <w:footnoteReference w:id="12"/>
            </w:r>
            <w:r w:rsidRPr="00C55ADB">
              <w:rPr>
                <w:rFonts w:ascii="Arial" w:hAnsi="Arial" w:cs="Arial"/>
                <w:sz w:val="22"/>
                <w:szCs w:val="22"/>
                <w:lang w:val="en-US"/>
              </w:rPr>
              <w:t xml:space="preserve">  </w:t>
            </w:r>
          </w:p>
          <w:p w14:paraId="702ED161" w14:textId="77777777" w:rsidR="000C6175" w:rsidRPr="00C55ADB" w:rsidRDefault="000C6175" w:rsidP="000C6175">
            <w:pPr>
              <w:numPr>
                <w:ilvl w:val="0"/>
                <w:numId w:val="4"/>
              </w:numPr>
              <w:spacing w:before="120" w:after="120"/>
              <w:rPr>
                <w:rFonts w:ascii="Arial" w:hAnsi="Arial" w:cs="Arial"/>
                <w:sz w:val="22"/>
                <w:szCs w:val="22"/>
              </w:rPr>
            </w:pPr>
            <w:r w:rsidRPr="00C55ADB">
              <w:rPr>
                <w:rFonts w:ascii="Arial" w:hAnsi="Arial" w:cs="Arial"/>
                <w:sz w:val="22"/>
                <w:szCs w:val="22"/>
                <w:lang w:val="en-US"/>
              </w:rPr>
              <w:t>Second, and related as to why referenda are a poor tool here, is that Māori are a minority population so there is an obvious risk that Māori preferences for representation in Parliament would be outweighed by the views of non-Māori.  I.e. regardless of outcomes, it would be a largely non-Māori decision-making process over matters pertaining directly to the Māori franchise.  Unless of course the referendum was only for those on the Māori roll – which highlights the pointlessness of this approach, as these Māori have already affirmed their preference for the Māori electorate seats via their enrolments.  In short, wrong policy tool.</w:t>
            </w:r>
          </w:p>
          <w:p w14:paraId="4F236E59" w14:textId="77777777" w:rsidR="000C6175" w:rsidRPr="00C55ADB" w:rsidRDefault="000C6175" w:rsidP="000C6175">
            <w:pPr>
              <w:numPr>
                <w:ilvl w:val="0"/>
                <w:numId w:val="4"/>
              </w:numPr>
              <w:spacing w:before="120" w:after="120"/>
              <w:rPr>
                <w:rFonts w:ascii="Arial" w:hAnsi="Arial" w:cs="Arial"/>
                <w:sz w:val="22"/>
                <w:szCs w:val="22"/>
              </w:rPr>
            </w:pPr>
            <w:r w:rsidRPr="00C55ADB">
              <w:rPr>
                <w:rFonts w:ascii="Arial" w:hAnsi="Arial" w:cs="Arial"/>
                <w:sz w:val="22"/>
                <w:szCs w:val="22"/>
                <w:lang w:val="en-US"/>
              </w:rPr>
              <w:t xml:space="preserve">With this we are also unconvinced that the number of Māori people in Parliament has any bearing on the need or not for Māori seats.  That view has an incorrect presumption that all Māori in Parliament are there to service Māori interests – when many are </w:t>
            </w:r>
            <w:proofErr w:type="gramStart"/>
            <w:r w:rsidRPr="00C55ADB">
              <w:rPr>
                <w:rFonts w:ascii="Arial" w:hAnsi="Arial" w:cs="Arial"/>
                <w:sz w:val="22"/>
                <w:szCs w:val="22"/>
                <w:lang w:val="en-US"/>
              </w:rPr>
              <w:t>actually elected</w:t>
            </w:r>
            <w:proofErr w:type="gramEnd"/>
            <w:r w:rsidRPr="00C55ADB">
              <w:rPr>
                <w:rFonts w:ascii="Arial" w:hAnsi="Arial" w:cs="Arial"/>
                <w:sz w:val="22"/>
                <w:szCs w:val="22"/>
                <w:lang w:val="en-US"/>
              </w:rPr>
              <w:t xml:space="preserve"> to service people in their general seats, regardless of ethnicity.  Case in point is Tama Potaka.  As a member of the Executive his focus is on Māori development, sure.  But first and </w:t>
            </w:r>
            <w:proofErr w:type="gramStart"/>
            <w:r w:rsidRPr="00C55ADB">
              <w:rPr>
                <w:rFonts w:ascii="Arial" w:hAnsi="Arial" w:cs="Arial"/>
                <w:sz w:val="22"/>
                <w:szCs w:val="22"/>
                <w:lang w:val="en-US"/>
              </w:rPr>
              <w:t>foremost</w:t>
            </w:r>
            <w:proofErr w:type="gramEnd"/>
            <w:r w:rsidRPr="00C55ADB">
              <w:rPr>
                <w:rFonts w:ascii="Arial" w:hAnsi="Arial" w:cs="Arial"/>
                <w:sz w:val="22"/>
                <w:szCs w:val="22"/>
                <w:lang w:val="en-US"/>
              </w:rPr>
              <w:t xml:space="preserve"> he is a Member of Parliament, and the constituents he serves are all the people in Hamilton West, regardless of their ethnicity.  Another example would be David Seymour.  Yes, Māori whakapapa, but he is explicit in stating he does not see himself as representing Māori per se.  In effect, Mr Seymour’s position demonstrates the need for a specific structural mechanism to ensure Māori franchise voice is maintained, rather than any reliance on random candidates of themselves.  </w:t>
            </w:r>
          </w:p>
          <w:p w14:paraId="1D4D2CC4" w14:textId="77777777" w:rsidR="000C6175" w:rsidRPr="00C55ADB" w:rsidRDefault="000C6175" w:rsidP="000C6175">
            <w:pPr>
              <w:numPr>
                <w:ilvl w:val="0"/>
                <w:numId w:val="4"/>
              </w:numPr>
              <w:spacing w:before="120" w:after="120"/>
              <w:rPr>
                <w:rFonts w:ascii="Arial" w:hAnsi="Arial" w:cs="Arial"/>
                <w:sz w:val="22"/>
                <w:szCs w:val="22"/>
              </w:rPr>
            </w:pPr>
            <w:r w:rsidRPr="00C55ADB">
              <w:rPr>
                <w:rFonts w:ascii="Arial" w:hAnsi="Arial" w:cs="Arial"/>
                <w:sz w:val="22"/>
                <w:szCs w:val="22"/>
                <w:lang w:val="en-US"/>
              </w:rPr>
              <w:t xml:space="preserve">In that context our view remains that the Māori seats remain a useful, albeit imperfect, mechanism for ensuring that matters relevant to Māori as a people group will be considered in Parliament.  That is because whoever stands and wins in these seats is accountable to Māori constituents, so their mandate and challenge is to serve Māori as a people group well (or risk being cast out of Parliament).  This also gives the seats a Tiriti context, and hence it is no coincidence that Treaty resolution processes have consistently been advanced by people holding Māori seats (be that Matiu Rata, Koro </w:t>
            </w:r>
            <w:proofErr w:type="spellStart"/>
            <w:r w:rsidRPr="00C55ADB">
              <w:rPr>
                <w:rFonts w:ascii="Arial" w:hAnsi="Arial" w:cs="Arial"/>
                <w:sz w:val="22"/>
                <w:szCs w:val="22"/>
                <w:lang w:val="en-US"/>
              </w:rPr>
              <w:t>Wētere</w:t>
            </w:r>
            <w:proofErr w:type="spellEnd"/>
            <w:r w:rsidRPr="00C55ADB">
              <w:rPr>
                <w:rFonts w:ascii="Arial" w:hAnsi="Arial" w:cs="Arial"/>
                <w:sz w:val="22"/>
                <w:szCs w:val="22"/>
                <w:lang w:val="en-US"/>
              </w:rPr>
              <w:t xml:space="preserve">, Tariana Turia, </w:t>
            </w:r>
            <w:proofErr w:type="spellStart"/>
            <w:r w:rsidRPr="00C55ADB">
              <w:rPr>
                <w:rFonts w:ascii="Arial" w:hAnsi="Arial" w:cs="Arial"/>
                <w:sz w:val="22"/>
                <w:szCs w:val="22"/>
                <w:lang w:val="en-US"/>
              </w:rPr>
              <w:t>etc</w:t>
            </w:r>
            <w:proofErr w:type="spellEnd"/>
            <w:r w:rsidRPr="00C55ADB">
              <w:rPr>
                <w:rFonts w:ascii="Arial" w:hAnsi="Arial" w:cs="Arial"/>
                <w:sz w:val="22"/>
                <w:szCs w:val="22"/>
                <w:lang w:val="en-US"/>
              </w:rPr>
              <w:t>).  For this reason, the seats are considered by many – including the Independent Electoral Review Panel – to have an important Treaty context for and within the legislative chamber.</w:t>
            </w:r>
          </w:p>
          <w:p w14:paraId="34BB2C47" w14:textId="77777777" w:rsidR="000C6175" w:rsidRPr="00C55ADB" w:rsidRDefault="000C6175" w:rsidP="000C6175">
            <w:pPr>
              <w:numPr>
                <w:ilvl w:val="0"/>
                <w:numId w:val="4"/>
              </w:numPr>
              <w:spacing w:before="120" w:after="120"/>
              <w:rPr>
                <w:rFonts w:ascii="Arial" w:hAnsi="Arial" w:cs="Arial"/>
                <w:sz w:val="22"/>
                <w:szCs w:val="22"/>
              </w:rPr>
            </w:pPr>
            <w:r w:rsidRPr="00C55ADB">
              <w:rPr>
                <w:rFonts w:ascii="Arial" w:hAnsi="Arial" w:cs="Arial"/>
                <w:sz w:val="22"/>
                <w:szCs w:val="22"/>
                <w:lang w:val="en-US"/>
              </w:rPr>
              <w:t>In that light, we consider policy (not political) discussion on the retention / entrenchment / or removal of these seats would be better served with initial consideration of this wider Treaty and Māori group rights context.  I.e. rather than start with the question, should there be Māori seats, the primary questions might be more around the role of the Treaty in the constitution and whether the mechanisms in place now remain relevant and/or sufficient.  Put another way, form follows function.</w:t>
            </w:r>
          </w:p>
        </w:tc>
      </w:tr>
    </w:tbl>
    <w:p w14:paraId="4038E10A" w14:textId="77777777" w:rsidR="000C6175" w:rsidRDefault="000C6175" w:rsidP="00D4312B">
      <w:pPr>
        <w:pBdr>
          <w:bottom w:val="single" w:sz="12" w:space="1" w:color="auto"/>
        </w:pBdr>
        <w:suppressAutoHyphens w:val="0"/>
        <w:spacing w:after="160" w:line="259" w:lineRule="auto"/>
        <w:contextualSpacing/>
        <w:jc w:val="both"/>
        <w:rPr>
          <w:rFonts w:ascii="Arial" w:hAnsi="Arial" w:cs="Arial"/>
          <w:sz w:val="22"/>
          <w:szCs w:val="22"/>
        </w:rPr>
      </w:pPr>
    </w:p>
    <w:p w14:paraId="5285FF94" w14:textId="77777777" w:rsidR="00EE02BC" w:rsidRPr="00023410" w:rsidRDefault="00EE02BC" w:rsidP="00D4312B">
      <w:pPr>
        <w:pBdr>
          <w:bottom w:val="single" w:sz="12" w:space="1" w:color="auto"/>
        </w:pBdr>
        <w:suppressAutoHyphens w:val="0"/>
        <w:spacing w:after="160" w:line="259" w:lineRule="auto"/>
        <w:contextualSpacing/>
        <w:jc w:val="both"/>
        <w:rPr>
          <w:rFonts w:ascii="Arial" w:hAnsi="Arial" w:cs="Arial"/>
          <w:sz w:val="22"/>
          <w:szCs w:val="22"/>
        </w:rPr>
      </w:pPr>
    </w:p>
    <w:p w14:paraId="5B91C3CB" w14:textId="77777777" w:rsidR="00D4312B" w:rsidRPr="00023410" w:rsidRDefault="00D4312B" w:rsidP="00D4312B">
      <w:pPr>
        <w:suppressAutoHyphens w:val="0"/>
        <w:spacing w:after="160" w:line="259" w:lineRule="auto"/>
        <w:contextualSpacing/>
        <w:jc w:val="both"/>
        <w:rPr>
          <w:rFonts w:ascii="Arial" w:hAnsi="Arial" w:cs="Arial"/>
          <w:sz w:val="22"/>
          <w:szCs w:val="22"/>
        </w:rPr>
      </w:pPr>
    </w:p>
    <w:p w14:paraId="02111EFD" w14:textId="77777777" w:rsidR="00D4312B" w:rsidRPr="00023410" w:rsidRDefault="00D4312B" w:rsidP="00D4312B">
      <w:pPr>
        <w:pStyle w:val="EndnoteText"/>
        <w:rPr>
          <w:rFonts w:ascii="Arial" w:hAnsi="Arial" w:cs="Arial"/>
          <w:sz w:val="22"/>
          <w:szCs w:val="22"/>
        </w:rPr>
      </w:pPr>
      <w:r w:rsidRPr="00023410">
        <w:rPr>
          <w:rStyle w:val="EndnoteReference"/>
          <w:rFonts w:ascii="Arial" w:hAnsi="Arial" w:cs="Arial"/>
          <w:sz w:val="22"/>
          <w:szCs w:val="22"/>
        </w:rPr>
        <w:sym w:font="Symbol" w:char="F02A"/>
      </w:r>
      <w:r w:rsidRPr="00023410">
        <w:rPr>
          <w:rFonts w:ascii="Arial" w:hAnsi="Arial" w:cs="Arial"/>
          <w:sz w:val="22"/>
          <w:szCs w:val="22"/>
        </w:rPr>
        <w:t xml:space="preserve"> Produced by Workman Enterprises Ltd, publishers of </w:t>
      </w:r>
      <w:hyperlink r:id="rId13" w:history="1">
        <w:r w:rsidRPr="00023410">
          <w:rPr>
            <w:rStyle w:val="Hyperlink"/>
            <w:rFonts w:ascii="Arial" w:hAnsi="Arial" w:cs="Arial"/>
            <w:sz w:val="22"/>
            <w:szCs w:val="22"/>
          </w:rPr>
          <w:t>www.panui.co.nz</w:t>
        </w:r>
      </w:hyperlink>
    </w:p>
    <w:p w14:paraId="65DE7406" w14:textId="77777777" w:rsidR="00D4312B" w:rsidRPr="00023410" w:rsidRDefault="00D4312B" w:rsidP="00D4312B">
      <w:pPr>
        <w:pStyle w:val="EndnoteText"/>
        <w:rPr>
          <w:rFonts w:ascii="Arial" w:hAnsi="Arial" w:cs="Arial"/>
          <w:sz w:val="22"/>
          <w:szCs w:val="22"/>
        </w:rPr>
      </w:pPr>
    </w:p>
    <w:p w14:paraId="2215F927" w14:textId="733DE487" w:rsidR="00D4312B" w:rsidRPr="00023410" w:rsidRDefault="00D4312B" w:rsidP="00D4312B">
      <w:pPr>
        <w:pStyle w:val="EnvelopeReturn"/>
        <w:rPr>
          <w:rFonts w:cs="Arial"/>
          <w:color w:val="000000"/>
          <w:sz w:val="22"/>
          <w:szCs w:val="22"/>
        </w:rPr>
      </w:pPr>
      <w:r w:rsidRPr="00023410">
        <w:rPr>
          <w:rFonts w:cs="Arial"/>
          <w:b/>
          <w:color w:val="000000"/>
          <w:sz w:val="22"/>
          <w:szCs w:val="22"/>
        </w:rPr>
        <w:t>Copyright:</w:t>
      </w:r>
      <w:r w:rsidRPr="00023410">
        <w:rPr>
          <w:rFonts w:cs="Arial"/>
          <w:color w:val="000000"/>
          <w:sz w:val="22"/>
          <w:szCs w:val="22"/>
        </w:rPr>
        <w:t xml:space="preserve"> Workman Enterprises 202</w:t>
      </w:r>
      <w:r w:rsidR="00EB20A7">
        <w:rPr>
          <w:rFonts w:cs="Arial"/>
          <w:color w:val="000000"/>
          <w:sz w:val="22"/>
          <w:szCs w:val="22"/>
        </w:rPr>
        <w:t>6</w:t>
      </w:r>
      <w:r w:rsidRPr="00023410">
        <w:rPr>
          <w:rFonts w:cs="Arial"/>
          <w:color w:val="000000"/>
          <w:sz w:val="22"/>
          <w:szCs w:val="22"/>
        </w:rPr>
        <w:t>. This publication is the property of Workman Enterprises and may not be copied, reproduced or forwarded to other parties without the prior consent of the owners, Workman Enterprises Ltd.   Author of this edition: William Workman.</w:t>
      </w:r>
    </w:p>
    <w:p w14:paraId="40041806" w14:textId="77777777" w:rsidR="00D4312B" w:rsidRPr="00023410" w:rsidRDefault="00D4312B" w:rsidP="00D4312B">
      <w:pPr>
        <w:pStyle w:val="EnvelopeReturn"/>
        <w:rPr>
          <w:rFonts w:cs="Arial"/>
          <w:color w:val="000000"/>
          <w:sz w:val="22"/>
          <w:szCs w:val="22"/>
        </w:rPr>
      </w:pPr>
    </w:p>
    <w:p w14:paraId="781A6343" w14:textId="77777777" w:rsidR="00D4312B" w:rsidRPr="00023410" w:rsidRDefault="00D4312B" w:rsidP="00D4312B">
      <w:pPr>
        <w:pStyle w:val="Footer"/>
        <w:jc w:val="both"/>
        <w:rPr>
          <w:rFonts w:cs="Arial"/>
          <w:color w:val="000000"/>
          <w:sz w:val="22"/>
          <w:szCs w:val="22"/>
        </w:rPr>
      </w:pPr>
      <w:r w:rsidRPr="00023410">
        <w:rPr>
          <w:rFonts w:cs="Arial"/>
          <w:b/>
          <w:color w:val="000000"/>
          <w:sz w:val="22"/>
          <w:szCs w:val="22"/>
        </w:rPr>
        <w:t>No liability:</w:t>
      </w:r>
      <w:r w:rsidRPr="00023410">
        <w:rPr>
          <w:rFonts w:cs="Arial"/>
          <w:color w:val="000000"/>
          <w:sz w:val="22"/>
          <w:szCs w:val="22"/>
        </w:rPr>
        <w:t xml:space="preserve"> While professional effort is made to ensure the accuracy of the information herein, Workman Enterprises accepts no liability for reliance on the use of any information contained within this paper.</w:t>
      </w:r>
    </w:p>
    <w:p w14:paraId="275EED50" w14:textId="77777777" w:rsidR="00D4312B" w:rsidRPr="00023410" w:rsidRDefault="00D4312B" w:rsidP="00D4312B">
      <w:pPr>
        <w:pStyle w:val="Footer"/>
        <w:jc w:val="both"/>
        <w:rPr>
          <w:rFonts w:cs="Arial"/>
          <w:b/>
          <w:color w:val="000000"/>
          <w:sz w:val="22"/>
          <w:szCs w:val="22"/>
        </w:rPr>
      </w:pPr>
    </w:p>
    <w:p w14:paraId="7FC2E628" w14:textId="77777777" w:rsidR="00D4312B" w:rsidRPr="00023410" w:rsidRDefault="00D4312B" w:rsidP="00D4312B">
      <w:pPr>
        <w:pStyle w:val="Footer"/>
        <w:jc w:val="both"/>
        <w:rPr>
          <w:rFonts w:cs="Arial"/>
          <w:color w:val="000000"/>
          <w:sz w:val="22"/>
          <w:szCs w:val="22"/>
        </w:rPr>
      </w:pPr>
      <w:r w:rsidRPr="00023410">
        <w:rPr>
          <w:rFonts w:cs="Arial"/>
          <w:b/>
          <w:color w:val="000000"/>
          <w:sz w:val="22"/>
          <w:szCs w:val="22"/>
        </w:rPr>
        <w:t>References:</w:t>
      </w:r>
      <w:r w:rsidRPr="00023410">
        <w:rPr>
          <w:rFonts w:cs="Arial"/>
          <w:color w:val="000000"/>
          <w:sz w:val="22"/>
          <w:szCs w:val="22"/>
        </w:rPr>
        <w:t xml:space="preserve"> Subscribers are welcome to contact us for reference materials relating to the above articles.</w:t>
      </w:r>
    </w:p>
    <w:p w14:paraId="73049366" w14:textId="77777777" w:rsidR="00D4312B" w:rsidRPr="00023410" w:rsidRDefault="00D4312B" w:rsidP="00D4312B">
      <w:pPr>
        <w:pStyle w:val="Footer"/>
        <w:jc w:val="both"/>
        <w:rPr>
          <w:rFonts w:cs="Arial"/>
          <w:color w:val="000000"/>
          <w:sz w:val="22"/>
          <w:szCs w:val="22"/>
        </w:rPr>
      </w:pPr>
    </w:p>
    <w:p w14:paraId="1197AE76" w14:textId="77777777" w:rsidR="00D4312B" w:rsidRPr="00023410" w:rsidRDefault="00D4312B" w:rsidP="00D4312B">
      <w:pPr>
        <w:pStyle w:val="Footer"/>
        <w:jc w:val="both"/>
        <w:rPr>
          <w:rFonts w:cs="Arial"/>
          <w:color w:val="000000"/>
          <w:sz w:val="22"/>
          <w:szCs w:val="22"/>
        </w:rPr>
      </w:pPr>
      <w:r w:rsidRPr="00023410">
        <w:rPr>
          <w:rFonts w:cs="Arial"/>
          <w:b/>
          <w:color w:val="000000"/>
          <w:sz w:val="22"/>
          <w:szCs w:val="22"/>
        </w:rPr>
        <w:t>Impartiality</w:t>
      </w:r>
      <w:r w:rsidRPr="00023410">
        <w:rPr>
          <w:rFonts w:cs="Arial"/>
          <w:color w:val="000000"/>
          <w:sz w:val="22"/>
          <w:szCs w:val="22"/>
        </w:rPr>
        <w:t xml:space="preserve">: This Pānui is designed to provide ‘free and frank’ advice to subscribers and has no association with any political movement.  </w:t>
      </w:r>
    </w:p>
    <w:p w14:paraId="5CB5BB89" w14:textId="429F0457" w:rsidR="00412B94" w:rsidRPr="00023410" w:rsidRDefault="00412B94" w:rsidP="006B30E8">
      <w:pPr>
        <w:suppressAutoHyphens w:val="0"/>
        <w:rPr>
          <w:rFonts w:ascii="Arial" w:hAnsi="Arial" w:cs="Arial"/>
          <w:sz w:val="22"/>
          <w:szCs w:val="22"/>
          <w:lang w:val="en-NZ"/>
        </w:rPr>
      </w:pPr>
    </w:p>
    <w:p w14:paraId="7B18700B" w14:textId="77777777" w:rsidR="00D4312B" w:rsidRPr="00023410" w:rsidRDefault="00D4312B" w:rsidP="006B30E8">
      <w:pPr>
        <w:suppressAutoHyphens w:val="0"/>
        <w:rPr>
          <w:rFonts w:ascii="Arial" w:hAnsi="Arial" w:cs="Arial"/>
          <w:sz w:val="22"/>
          <w:szCs w:val="22"/>
          <w:lang w:val="en-NZ"/>
        </w:rPr>
      </w:pPr>
    </w:p>
    <w:sectPr w:rsidR="00D4312B" w:rsidRPr="00023410" w:rsidSect="00C87095">
      <w:headerReference w:type="even" r:id="rId14"/>
      <w:headerReference w:type="default" r:id="rId15"/>
      <w:footerReference w:type="even" r:id="rId16"/>
      <w:footerReference w:type="default" r:id="rId17"/>
      <w:headerReference w:type="first" r:id="rId18"/>
      <w:footerReference w:type="first" r:id="rId19"/>
      <w:pgSz w:w="11906" w:h="16838"/>
      <w:pgMar w:top="1440" w:right="1274" w:bottom="1440" w:left="1797"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B0185" w14:textId="77777777" w:rsidR="00D76774" w:rsidRDefault="00D76774">
      <w:r>
        <w:separator/>
      </w:r>
    </w:p>
  </w:endnote>
  <w:endnote w:type="continuationSeparator" w:id="0">
    <w:p w14:paraId="787F9D73" w14:textId="77777777" w:rsidR="00D76774" w:rsidRDefault="00D76774">
      <w:r>
        <w:continuationSeparator/>
      </w:r>
    </w:p>
  </w:endnote>
  <w:endnote w:id="1">
    <w:p w14:paraId="6E581852" w14:textId="77777777" w:rsidR="00EB461B" w:rsidRDefault="00EB461B" w:rsidP="00EB461B">
      <w:pPr>
        <w:pStyle w:val="Footer"/>
        <w:jc w:val="both"/>
      </w:pPr>
    </w:p>
  </w:endnote>
  <w:endnote w:id="2">
    <w:p w14:paraId="4B40DD07" w14:textId="77777777" w:rsidR="00627327" w:rsidRPr="00532353" w:rsidRDefault="00627327" w:rsidP="00627327">
      <w:pPr>
        <w:pStyle w:val="EndnoteText"/>
        <w:rPr>
          <w:rFonts w:ascii="Arial" w:hAnsi="Arial" w:cs="Arial"/>
          <w:lang w:val="mi-NZ"/>
        </w:rPr>
      </w:pPr>
      <w:r w:rsidRPr="00532353">
        <w:rPr>
          <w:rStyle w:val="EndnoteReference"/>
          <w:rFonts w:ascii="Arial" w:hAnsi="Arial" w:cs="Arial"/>
        </w:rPr>
        <w:endnoteRef/>
      </w:r>
      <w:r w:rsidRPr="00532353">
        <w:rPr>
          <w:rFonts w:ascii="Arial" w:hAnsi="Arial" w:cs="Arial"/>
        </w:rPr>
        <w:t xml:space="preserve"> </w:t>
      </w:r>
      <w:r w:rsidRPr="00532353">
        <w:rPr>
          <w:rFonts w:ascii="Arial" w:hAnsi="Arial" w:cs="Arial"/>
          <w:lang w:val="mi-NZ"/>
        </w:rPr>
        <w:t>Note: due to</w:t>
      </w:r>
      <w:r>
        <w:rPr>
          <w:rFonts w:ascii="Arial" w:hAnsi="Arial" w:cs="Arial"/>
          <w:lang w:val="mi-NZ"/>
        </w:rPr>
        <w:t xml:space="preserve"> remove </w:t>
      </w:r>
      <w:r w:rsidRPr="00532353">
        <w:rPr>
          <w:rFonts w:ascii="Arial" w:hAnsi="Arial" w:cs="Arial"/>
          <w:lang w:val="mi-NZ"/>
        </w:rPr>
        <w:t xml:space="preserve">the possiblity of a perceived conflict of interest </w:t>
      </w:r>
      <w:r>
        <w:rPr>
          <w:rFonts w:ascii="Arial" w:hAnsi="Arial" w:cs="Arial"/>
          <w:lang w:val="mi-NZ"/>
        </w:rPr>
        <w:t xml:space="preserve">one </w:t>
      </w:r>
      <w:r w:rsidRPr="00532353">
        <w:rPr>
          <w:rFonts w:ascii="Arial" w:hAnsi="Arial" w:cs="Arial"/>
          <w:lang w:val="mi-NZ"/>
        </w:rPr>
        <w:t xml:space="preserve">section of Pānui </w:t>
      </w:r>
      <w:r>
        <w:rPr>
          <w:rFonts w:ascii="Arial" w:hAnsi="Arial" w:cs="Arial"/>
          <w:lang w:val="mi-NZ"/>
        </w:rPr>
        <w:t xml:space="preserve">(on the education sector) </w:t>
      </w:r>
      <w:r w:rsidRPr="00532353">
        <w:rPr>
          <w:rFonts w:ascii="Arial" w:hAnsi="Arial" w:cs="Arial"/>
          <w:lang w:val="mi-NZ"/>
        </w:rPr>
        <w:t xml:space="preserve">is authorised and approved by a separate member of the Pānui team, </w:t>
      </w:r>
      <w:r>
        <w:rPr>
          <w:rFonts w:ascii="Arial" w:hAnsi="Arial" w:cs="Arial"/>
          <w:lang w:val="mi-NZ"/>
        </w:rPr>
        <w:t xml:space="preserve">other than </w:t>
      </w:r>
      <w:r w:rsidRPr="00532353">
        <w:rPr>
          <w:rFonts w:ascii="Arial" w:hAnsi="Arial" w:cs="Arial"/>
          <w:lang w:val="mi-NZ"/>
        </w:rPr>
        <w:t xml:space="preserve">Will Workman.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yriadPro-Light">
    <w:altName w:val="Times New Roman"/>
    <w:panose1 w:val="00000000000000000000"/>
    <w:charset w:val="4D"/>
    <w:family w:val="auto"/>
    <w:notTrueType/>
    <w:pitch w:val="default"/>
    <w:sig w:usb0="00000003" w:usb1="00000000" w:usb2="00000000" w:usb3="00000000" w:csb0="00000001" w:csb1="00000000"/>
  </w:font>
  <w:font w:name="Cronos Pro Light Subhead">
    <w:altName w:val="Calibri"/>
    <w:panose1 w:val="00000000000000000000"/>
    <w:charset w:val="00"/>
    <w:family w:val="swiss"/>
    <w:notTrueType/>
    <w:pitch w:val="default"/>
    <w:sig w:usb0="00000003" w:usb1="00000000" w:usb2="00000000" w:usb3="00000000" w:csb0="00000001" w:csb1="00000000"/>
  </w:font>
  <w:font w:name="Minion Pro Capt">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TheSans OT3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A0588" w14:textId="77777777" w:rsidR="00FF730B" w:rsidRDefault="00FF73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9A97" w14:textId="77777777" w:rsidR="00D87514" w:rsidRDefault="00D87514">
    <w:pPr>
      <w:pStyle w:val="Footer"/>
      <w:jc w:val="right"/>
    </w:pPr>
    <w:r>
      <w:fldChar w:fldCharType="begin"/>
    </w:r>
    <w:r>
      <w:instrText xml:space="preserve"> PAGE </w:instrText>
    </w:r>
    <w:r>
      <w:fldChar w:fldCharType="separate"/>
    </w:r>
    <w:r>
      <w:rPr>
        <w:noProof/>
      </w:rPr>
      <w:t>36</w:t>
    </w:r>
    <w:r>
      <w:fldChar w:fldCharType="end"/>
    </w:r>
  </w:p>
  <w:p w14:paraId="1831752A" w14:textId="77777777" w:rsidR="00D87514" w:rsidRDefault="00D8751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FD639" w14:textId="77777777" w:rsidR="00D87514" w:rsidRDefault="00D87514">
    <w:pPr>
      <w:pStyle w:val="Footer"/>
      <w:tabs>
        <w:tab w:val="left" w:pos="28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0EE40" w14:textId="77777777" w:rsidR="00D76774" w:rsidRDefault="00D76774">
      <w:r>
        <w:separator/>
      </w:r>
    </w:p>
  </w:footnote>
  <w:footnote w:type="continuationSeparator" w:id="0">
    <w:p w14:paraId="7A8AFA08" w14:textId="77777777" w:rsidR="00D76774" w:rsidRDefault="00D76774">
      <w:r>
        <w:continuationSeparator/>
      </w:r>
    </w:p>
  </w:footnote>
  <w:footnote w:id="1">
    <w:p w14:paraId="2BDCA8B4" w14:textId="77777777" w:rsidR="00627327" w:rsidRPr="0028112B" w:rsidRDefault="00627327" w:rsidP="00627327">
      <w:pPr>
        <w:pStyle w:val="FootnoteText"/>
        <w:rPr>
          <w:lang w:val="mi-NZ"/>
        </w:rPr>
      </w:pPr>
      <w:r>
        <w:rPr>
          <w:rStyle w:val="FootnoteReference"/>
        </w:rPr>
        <w:footnoteRef/>
      </w:r>
      <w:r>
        <w:rPr>
          <w:lang w:val="mi-NZ"/>
        </w:rPr>
        <w:t xml:space="preserve"> </w:t>
      </w:r>
      <w:hyperlink r:id="rId1" w:history="1">
        <w:r w:rsidRPr="006C5E45">
          <w:rPr>
            <w:rStyle w:val="Hyperlink"/>
          </w:rPr>
          <w:t>Regulatory Impact Statement: Establishing enduring goals or objectives for education for children and young people aged 0 to 18 | Ministry for Regulation</w:t>
        </w:r>
      </w:hyperlink>
    </w:p>
  </w:footnote>
  <w:footnote w:id="2">
    <w:p w14:paraId="57FE0EB0" w14:textId="77777777" w:rsidR="008A7B40" w:rsidRPr="004408EB" w:rsidRDefault="008A7B40" w:rsidP="008A7B40">
      <w:pPr>
        <w:pStyle w:val="FootnoteText"/>
        <w:rPr>
          <w:lang w:val="en-US"/>
        </w:rPr>
      </w:pPr>
      <w:r>
        <w:rPr>
          <w:rStyle w:val="FootnoteReference"/>
        </w:rPr>
        <w:footnoteRef/>
      </w:r>
      <w:r>
        <w:t xml:space="preserve"> </w:t>
      </w:r>
      <w:r>
        <w:rPr>
          <w:lang w:val="en-US"/>
        </w:rPr>
        <w:t xml:space="preserve">References to increase or decrease in numbers or percentages is compared to the September 2025 quarter. </w:t>
      </w:r>
    </w:p>
  </w:footnote>
  <w:footnote w:id="3">
    <w:p w14:paraId="48866DF9" w14:textId="77777777" w:rsidR="008A7B40" w:rsidRPr="004424C9" w:rsidRDefault="008A7B40" w:rsidP="008A7B40">
      <w:pPr>
        <w:pStyle w:val="FootnoteText"/>
        <w:rPr>
          <w:lang w:val="en-US"/>
        </w:rPr>
      </w:pPr>
      <w:r>
        <w:rPr>
          <w:rStyle w:val="FootnoteReference"/>
        </w:rPr>
        <w:footnoteRef/>
      </w:r>
      <w:r>
        <w:t xml:space="preserve"> </w:t>
      </w:r>
      <w:r>
        <w:rPr>
          <w:lang w:val="en-US"/>
        </w:rPr>
        <w:t>References to increase or decrease in numbers or percentages is compared to the September 2025 quarter.</w:t>
      </w:r>
    </w:p>
  </w:footnote>
  <w:footnote w:id="4">
    <w:p w14:paraId="6835C2D8" w14:textId="77777777" w:rsidR="008A7B40" w:rsidRPr="008D2BA1" w:rsidRDefault="008A7B40" w:rsidP="008A7B40">
      <w:pPr>
        <w:pStyle w:val="FootnoteText"/>
        <w:rPr>
          <w:lang w:val="en-US"/>
        </w:rPr>
      </w:pPr>
      <w:r>
        <w:rPr>
          <w:rStyle w:val="FootnoteReference"/>
        </w:rPr>
        <w:footnoteRef/>
      </w:r>
      <w:r>
        <w:t xml:space="preserve"> </w:t>
      </w:r>
      <w:r>
        <w:rPr>
          <w:lang w:val="en-US"/>
        </w:rPr>
        <w:t xml:space="preserve">References to increase or decrease in numbers or percentages is compared to the September 2025 </w:t>
      </w:r>
      <w:proofErr w:type="spellStart"/>
      <w:r>
        <w:rPr>
          <w:lang w:val="en-US"/>
        </w:rPr>
        <w:t>qarter</w:t>
      </w:r>
      <w:proofErr w:type="spellEnd"/>
      <w:r>
        <w:rPr>
          <w:lang w:val="en-US"/>
        </w:rPr>
        <w:t>.</w:t>
      </w:r>
    </w:p>
  </w:footnote>
  <w:footnote w:id="5">
    <w:p w14:paraId="7180CD0E" w14:textId="77777777" w:rsidR="008A7B40" w:rsidRPr="00D44875" w:rsidRDefault="008A7B40" w:rsidP="008A7B40">
      <w:pPr>
        <w:pStyle w:val="FootnoteText"/>
        <w:rPr>
          <w:lang w:val="mi-NZ"/>
        </w:rPr>
      </w:pPr>
      <w:r>
        <w:rPr>
          <w:rStyle w:val="FootnoteReference"/>
        </w:rPr>
        <w:footnoteRef/>
      </w:r>
      <w:r>
        <w:t xml:space="preserve"> Underutilisation - </w:t>
      </w:r>
      <w:r w:rsidRPr="00D44875">
        <w:rPr>
          <w:lang w:val="mi-NZ"/>
        </w:rPr>
        <w:t>This is the measure of the potential supply of workers and includes: people who are employed part-time but want/need more hours of work (underemployed); those who want a job but are not currently actively looking or available to start work (so not on the official register); and people who are registered as unemployed.</w:t>
      </w:r>
    </w:p>
  </w:footnote>
  <w:footnote w:id="6">
    <w:p w14:paraId="05297098" w14:textId="77777777" w:rsidR="00291BEF" w:rsidRPr="004C68C1" w:rsidRDefault="00291BEF" w:rsidP="00291BEF">
      <w:pPr>
        <w:pStyle w:val="FootnoteText"/>
        <w:rPr>
          <w:lang w:val="mi-NZ"/>
        </w:rPr>
      </w:pPr>
      <w:r>
        <w:rPr>
          <w:rStyle w:val="FootnoteReference"/>
        </w:rPr>
        <w:footnoteRef/>
      </w:r>
      <w:r>
        <w:t xml:space="preserve"> </w:t>
      </w:r>
      <w:r>
        <w:rPr>
          <w:lang w:val="mi-NZ"/>
        </w:rPr>
        <w:t>This is summarised, for the detailed list of functions refer to Section 40 of the Māori Language Act 2016.</w:t>
      </w:r>
    </w:p>
  </w:footnote>
  <w:footnote w:id="7">
    <w:p w14:paraId="20025B34" w14:textId="77777777" w:rsidR="00291BEF" w:rsidRPr="001269FD" w:rsidRDefault="00291BEF" w:rsidP="00291BEF">
      <w:pPr>
        <w:pStyle w:val="FootnoteText"/>
        <w:rPr>
          <w:lang w:val="en-US"/>
        </w:rPr>
      </w:pPr>
      <w:r>
        <w:rPr>
          <w:rStyle w:val="FootnoteReference"/>
        </w:rPr>
        <w:footnoteRef/>
      </w:r>
      <w:r>
        <w:t xml:space="preserve"> </w:t>
      </w:r>
      <w:r>
        <w:rPr>
          <w:lang w:val="en-US"/>
        </w:rPr>
        <w:t>This is our paraphrased summary of s18 of Te Ture m</w:t>
      </w:r>
      <w:r>
        <w:rPr>
          <w:rFonts w:cs="Arial"/>
          <w:lang w:val="en-US"/>
        </w:rPr>
        <w:t>ō</w:t>
      </w:r>
      <w:r>
        <w:rPr>
          <w:lang w:val="en-US"/>
        </w:rPr>
        <w:t xml:space="preserve"> te Reo M</w:t>
      </w:r>
      <w:r>
        <w:rPr>
          <w:rFonts w:cs="Arial"/>
          <w:lang w:val="en-US"/>
        </w:rPr>
        <w:t>ā</w:t>
      </w:r>
      <w:r>
        <w:rPr>
          <w:lang w:val="en-US"/>
        </w:rPr>
        <w:t>ori which sets out the functions of Te M</w:t>
      </w:r>
      <w:r>
        <w:rPr>
          <w:rFonts w:cs="Arial"/>
          <w:lang w:val="en-US"/>
        </w:rPr>
        <w:t>ā</w:t>
      </w:r>
      <w:r>
        <w:rPr>
          <w:lang w:val="en-US"/>
        </w:rPr>
        <w:t>t</w:t>
      </w:r>
      <w:r>
        <w:rPr>
          <w:rFonts w:cs="Arial"/>
          <w:lang w:val="en-US"/>
        </w:rPr>
        <w:t>ā</w:t>
      </w:r>
      <w:r>
        <w:rPr>
          <w:lang w:val="en-US"/>
        </w:rPr>
        <w:t>wai.</w:t>
      </w:r>
    </w:p>
  </w:footnote>
  <w:footnote w:id="8">
    <w:p w14:paraId="61DFE654" w14:textId="77777777" w:rsidR="000C6175" w:rsidRPr="00B6625D" w:rsidRDefault="000C6175" w:rsidP="000C6175">
      <w:pPr>
        <w:pStyle w:val="FootnoteText"/>
        <w:rPr>
          <w:lang w:val="mi-NZ"/>
        </w:rPr>
      </w:pPr>
      <w:r>
        <w:rPr>
          <w:rStyle w:val="FootnoteReference"/>
        </w:rPr>
        <w:footnoteRef/>
      </w:r>
      <w:r>
        <w:t xml:space="preserve"> </w:t>
      </w:r>
      <w:r>
        <w:rPr>
          <w:lang w:val="mi-NZ"/>
        </w:rPr>
        <w:t>Refer to Sections 9 and 10 of this bill for more specific details.</w:t>
      </w:r>
    </w:p>
  </w:footnote>
  <w:footnote w:id="9">
    <w:p w14:paraId="368AE9A7" w14:textId="77777777" w:rsidR="00512709" w:rsidRPr="00D31463" w:rsidRDefault="00512709" w:rsidP="00512709">
      <w:pPr>
        <w:pStyle w:val="FootnoteText"/>
        <w:rPr>
          <w:lang w:val="mi-NZ"/>
        </w:rPr>
      </w:pPr>
      <w:r>
        <w:rPr>
          <w:rStyle w:val="FootnoteReference"/>
        </w:rPr>
        <w:footnoteRef/>
      </w:r>
      <w:r>
        <w:t xml:space="preserve"> </w:t>
      </w:r>
      <w:r>
        <w:rPr>
          <w:lang w:val="mi-NZ"/>
        </w:rPr>
        <w:t>Rounded to whole numbers.</w:t>
      </w:r>
    </w:p>
  </w:footnote>
  <w:footnote w:id="10">
    <w:p w14:paraId="6472A42A" w14:textId="77777777" w:rsidR="000C6175" w:rsidRPr="003775AE" w:rsidRDefault="000C6175" w:rsidP="000C6175">
      <w:pPr>
        <w:pStyle w:val="FootnoteText"/>
        <w:rPr>
          <w:lang w:val="mi-NZ"/>
        </w:rPr>
      </w:pPr>
      <w:r>
        <w:rPr>
          <w:rStyle w:val="FootnoteReference"/>
        </w:rPr>
        <w:footnoteRef/>
      </w:r>
      <w:r>
        <w:t xml:space="preserve"> Also note some functional changes to prisoner voting matters were made at third reading.</w:t>
      </w:r>
    </w:p>
  </w:footnote>
  <w:footnote w:id="11">
    <w:p w14:paraId="5700EC4D" w14:textId="77777777" w:rsidR="000C6175" w:rsidRPr="00170510" w:rsidRDefault="000C6175" w:rsidP="000C6175">
      <w:pPr>
        <w:pStyle w:val="BodyText"/>
        <w:spacing w:before="120"/>
        <w:rPr>
          <w:rFonts w:asciiTheme="majorHAnsi" w:hAnsiTheme="majorHAnsi" w:cstheme="majorHAnsi"/>
          <w:sz w:val="20"/>
        </w:rPr>
      </w:pPr>
      <w:r w:rsidRPr="00170510">
        <w:rPr>
          <w:rStyle w:val="FootnoteReference"/>
          <w:sz w:val="20"/>
        </w:rPr>
        <w:footnoteRef/>
      </w:r>
      <w:r w:rsidRPr="00170510">
        <w:rPr>
          <w:sz w:val="20"/>
        </w:rPr>
        <w:t xml:space="preserve"> </w:t>
      </w:r>
      <w:r w:rsidRPr="00170510">
        <w:rPr>
          <w:rFonts w:asciiTheme="majorHAnsi" w:hAnsiTheme="majorHAnsi" w:cstheme="majorHAnsi"/>
          <w:sz w:val="20"/>
          <w:lang w:val="mi-NZ"/>
        </w:rPr>
        <w:t xml:space="preserve">That is, the National Party perspective that losing the right to vote is part of the ‘punishment’ for prisoners reads </w:t>
      </w:r>
      <w:r>
        <w:rPr>
          <w:rFonts w:asciiTheme="majorHAnsi" w:hAnsiTheme="majorHAnsi" w:cstheme="majorHAnsi"/>
          <w:sz w:val="20"/>
          <w:lang w:val="mi-NZ"/>
        </w:rPr>
        <w:t xml:space="preserve">as </w:t>
      </w:r>
      <w:r w:rsidRPr="00170510">
        <w:rPr>
          <w:rFonts w:asciiTheme="majorHAnsi" w:hAnsiTheme="majorHAnsi" w:cstheme="majorHAnsi"/>
          <w:sz w:val="20"/>
          <w:lang w:val="mi-NZ"/>
        </w:rPr>
        <w:t>a form of double</w:t>
      </w:r>
      <w:r>
        <w:rPr>
          <w:rFonts w:asciiTheme="majorHAnsi" w:hAnsiTheme="majorHAnsi" w:cstheme="majorHAnsi"/>
          <w:sz w:val="20"/>
          <w:lang w:val="mi-NZ"/>
        </w:rPr>
        <w:t xml:space="preserve"> </w:t>
      </w:r>
      <w:r w:rsidRPr="00170510">
        <w:rPr>
          <w:rFonts w:asciiTheme="majorHAnsi" w:hAnsiTheme="majorHAnsi" w:cstheme="majorHAnsi"/>
          <w:sz w:val="20"/>
          <w:lang w:val="en-US"/>
        </w:rPr>
        <w:t xml:space="preserve">jeopardy and of </w:t>
      </w:r>
      <w:r>
        <w:rPr>
          <w:rFonts w:asciiTheme="majorHAnsi" w:hAnsiTheme="majorHAnsi" w:cstheme="majorHAnsi"/>
          <w:sz w:val="20"/>
          <w:lang w:val="en-US"/>
        </w:rPr>
        <w:t>P</w:t>
      </w:r>
      <w:r w:rsidRPr="00170510">
        <w:rPr>
          <w:rFonts w:asciiTheme="majorHAnsi" w:hAnsiTheme="majorHAnsi" w:cstheme="majorHAnsi"/>
          <w:sz w:val="20"/>
          <w:lang w:val="en-US"/>
        </w:rPr>
        <w:t>arliament getting too involved in the separate business of the judiciary.</w:t>
      </w:r>
      <w:r>
        <w:rPr>
          <w:rFonts w:asciiTheme="majorHAnsi" w:hAnsiTheme="majorHAnsi" w:cstheme="majorHAnsi"/>
          <w:sz w:val="20"/>
          <w:lang w:val="en-US"/>
        </w:rPr>
        <w:t xml:space="preserve">  Hence why the right to vote should be entrenched, in our view.</w:t>
      </w:r>
    </w:p>
    <w:p w14:paraId="59763517" w14:textId="77777777" w:rsidR="000C6175" w:rsidRPr="00170510" w:rsidRDefault="000C6175" w:rsidP="000C6175">
      <w:pPr>
        <w:pStyle w:val="FootnoteText"/>
        <w:rPr>
          <w:lang w:val="mi-NZ"/>
        </w:rPr>
      </w:pPr>
    </w:p>
  </w:footnote>
  <w:footnote w:id="12">
    <w:p w14:paraId="26DF9B82" w14:textId="77777777" w:rsidR="000C6175" w:rsidRPr="00A22BCE" w:rsidRDefault="000C6175" w:rsidP="000C6175">
      <w:pPr>
        <w:pStyle w:val="FootnoteText"/>
        <w:rPr>
          <w:lang w:val="mi-NZ"/>
        </w:rPr>
      </w:pPr>
      <w:r>
        <w:rPr>
          <w:rStyle w:val="FootnoteReference"/>
        </w:rPr>
        <w:footnoteRef/>
      </w:r>
      <w:r>
        <w:t xml:space="preserve"> </w:t>
      </w:r>
      <w:r w:rsidRPr="00D541EC">
        <w:rPr>
          <w:rFonts w:asciiTheme="majorHAnsi" w:hAnsiTheme="majorHAnsi" w:cstheme="majorHAnsi"/>
          <w:szCs w:val="24"/>
          <w:lang w:val="en-US"/>
        </w:rPr>
        <w:t>The place where (non-binding) referend</w:t>
      </w:r>
      <w:r>
        <w:rPr>
          <w:rFonts w:asciiTheme="majorHAnsi" w:hAnsiTheme="majorHAnsi" w:cstheme="majorHAnsi"/>
          <w:szCs w:val="24"/>
          <w:lang w:val="en-US"/>
        </w:rPr>
        <w:t>a</w:t>
      </w:r>
      <w:r w:rsidRPr="00D541EC">
        <w:rPr>
          <w:rFonts w:asciiTheme="majorHAnsi" w:hAnsiTheme="majorHAnsi" w:cstheme="majorHAnsi"/>
          <w:szCs w:val="24"/>
          <w:lang w:val="en-US"/>
        </w:rPr>
        <w:t xml:space="preserve"> work best is when </w:t>
      </w:r>
      <w:r>
        <w:rPr>
          <w:rFonts w:asciiTheme="majorHAnsi" w:hAnsiTheme="majorHAnsi" w:cstheme="majorHAnsi"/>
          <w:szCs w:val="24"/>
          <w:lang w:val="en-US"/>
        </w:rPr>
        <w:t>P</w:t>
      </w:r>
      <w:r w:rsidRPr="00D541EC">
        <w:rPr>
          <w:rFonts w:asciiTheme="majorHAnsi" w:hAnsiTheme="majorHAnsi" w:cstheme="majorHAnsi"/>
          <w:szCs w:val="24"/>
          <w:lang w:val="en-US"/>
        </w:rPr>
        <w:t>arliament seeks guidance o</w:t>
      </w:r>
      <w:r>
        <w:rPr>
          <w:rFonts w:asciiTheme="majorHAnsi" w:hAnsiTheme="majorHAnsi" w:cstheme="majorHAnsi"/>
          <w:szCs w:val="24"/>
          <w:lang w:val="en-US"/>
        </w:rPr>
        <w:t>n</w:t>
      </w:r>
      <w:r w:rsidRPr="00D541EC">
        <w:rPr>
          <w:rFonts w:asciiTheme="majorHAnsi" w:hAnsiTheme="majorHAnsi" w:cstheme="majorHAnsi"/>
          <w:szCs w:val="24"/>
          <w:lang w:val="en-US"/>
        </w:rPr>
        <w:t xml:space="preserve"> matters of public social consci</w:t>
      </w:r>
      <w:r>
        <w:rPr>
          <w:rFonts w:asciiTheme="majorHAnsi" w:hAnsiTheme="majorHAnsi" w:cstheme="majorHAnsi"/>
          <w:szCs w:val="24"/>
          <w:lang w:val="en-US"/>
        </w:rPr>
        <w:t>ence</w:t>
      </w:r>
      <w:r w:rsidRPr="00D541EC">
        <w:rPr>
          <w:rFonts w:asciiTheme="majorHAnsi" w:hAnsiTheme="majorHAnsi" w:cstheme="majorHAnsi"/>
          <w:szCs w:val="24"/>
          <w:lang w:val="en-US"/>
        </w:rPr>
        <w:t xml:space="preserve"> – end of life, cannabis </w:t>
      </w:r>
      <w:r>
        <w:rPr>
          <w:rFonts w:asciiTheme="majorHAnsi" w:hAnsiTheme="majorHAnsi" w:cstheme="majorHAnsi"/>
          <w:szCs w:val="24"/>
          <w:lang w:val="en-US"/>
        </w:rPr>
        <w:t xml:space="preserve">use or not </w:t>
      </w:r>
      <w:r w:rsidRPr="00D541EC">
        <w:rPr>
          <w:rFonts w:asciiTheme="majorHAnsi" w:hAnsiTheme="majorHAnsi" w:cstheme="majorHAnsi"/>
          <w:szCs w:val="24"/>
          <w:lang w:val="en-US"/>
        </w:rPr>
        <w:t xml:space="preserve">legislation, etc.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99615" w14:textId="77777777" w:rsidR="00FF730B" w:rsidRDefault="00FF730B">
    <w:pPr>
      <w:pStyle w:val="Header"/>
    </w:pPr>
  </w:p>
  <w:p w14:paraId="6D08A80A" w14:textId="77777777" w:rsidR="00FF730B" w:rsidRDefault="00C468EE">
    <w:r>
      <w:rPr>
        <w:rFonts w:ascii="Arial" w:hAnsi="Arial"/>
        <w:noProof/>
      </w:rPr>
      <mc:AlternateContent>
        <mc:Choice Requires="wps">
          <w:drawing>
            <wp:anchor distT="0" distB="0" distL="114300" distR="114300" simplePos="0" relativeHeight="251658253" behindDoc="1" locked="0" layoutInCell="1" allowOverlap="1" wp14:anchorId="565D1C6B" wp14:editId="7DFF827E">
              <wp:simplePos x="0" y="0"/>
              <wp:positionH relativeFrom="page">
                <wp:posOffset>0</wp:posOffset>
              </wp:positionH>
              <wp:positionV relativeFrom="page">
                <wp:posOffset>0</wp:posOffset>
              </wp:positionV>
              <wp:extent cx="0" cy="0"/>
              <wp:effectExtent l="0" t="0" r="0" b="0"/>
              <wp:wrapNone/>
              <wp:docPr id="601158448"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w:pict>
            <v:rect w14:anchorId="710E115B" id="Rectangle 1" o:spid="_x0000_s1026" style="position:absolute;margin-left:0;margin-top:0;width:0;height:0;z-index:-251658227;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" stroked="f" strokeweight="0">
              <o:lock v:ext="edit" rotation="t" aspectratio="t" selection="t" verticies="t" text="t" adjusthandles="t" grouping="t" shapetype="t"/>
              <w10:wrap anchorx="page" anchory="page"/>
            </v:rect>
          </w:pict>
        </mc:Fallback>
      </mc:AlternateContent>
    </w:r>
  </w:p>
  <w:p w14:paraId="7F62F7B2" w14:textId="04091F76" w:rsidR="00FF730B" w:rsidRDefault="00C468EE">
    <w:r>
      <w:rPr>
        <w:noProof/>
      </w:rPr>
      <mc:AlternateContent>
        <mc:Choice Requires="wps">
          <w:drawing>
            <wp:anchor distT="0" distB="0" distL="114300" distR="114300" simplePos="0" relativeHeight="251658250" behindDoc="1" locked="0" layoutInCell="1" allowOverlap="1" wp14:anchorId="51E6A4E3" wp14:editId="7DFF827E">
              <wp:simplePos x="0" y="0"/>
              <wp:positionH relativeFrom="page">
                <wp:posOffset>0</wp:posOffset>
              </wp:positionH>
              <wp:positionV relativeFrom="page">
                <wp:posOffset>0</wp:posOffset>
              </wp:positionV>
              <wp:extent cx="0" cy="0"/>
              <wp:effectExtent l="0" t="0" r="0" b="0"/>
              <wp:wrapNone/>
              <wp:docPr id="1810857958"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w:pict>
            <v:rect w14:anchorId="1356C8B1" id="Rectangle 1" o:spid="_x0000_s1026" style="position:absolute;margin-left:0;margin-top:0;width:0;height:0;z-index:-251658230;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" stroked="f" strokeweight="0">
              <o:lock v:ext="edit" rotation="t" aspectratio="t" selection="t" verticies="t" text="t" adjusthandles="t" grouping="t" shapetype="t"/>
              <w10:wrap anchorx="page" anchory="page"/>
            </v:rect>
          </w:pict>
        </mc:Fallback>
      </mc:AlternateContent>
    </w:r>
    <w:r>
      <w:rPr>
        <w:noProof/>
      </w:rPr>
      <mc:AlternateContent>
        <mc:Choice Requires="wps">
          <w:drawing>
            <wp:anchor distT="0" distB="0" distL="114300" distR="114300" simplePos="0" relativeHeight="251658247" behindDoc="1" locked="0" layoutInCell="1" allowOverlap="1" wp14:anchorId="51E6A4E3" wp14:editId="7DFF827E">
              <wp:simplePos x="0" y="0"/>
              <wp:positionH relativeFrom="page">
                <wp:posOffset>0</wp:posOffset>
              </wp:positionH>
              <wp:positionV relativeFrom="page">
                <wp:posOffset>0</wp:posOffset>
              </wp:positionV>
              <wp:extent cx="0" cy="0"/>
              <wp:effectExtent l="0" t="0" r="0" b="0"/>
              <wp:wrapNone/>
              <wp:docPr id="1759518075"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w:pict>
            <v:rect w14:anchorId="6ADBC720" id="Rectangle 1" o:spid="_x0000_s1026" style="position:absolute;margin-left:0;margin-top:0;width:0;height:0;z-index:-251658233;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" stroked="f" strokeweight="0">
              <o:lock v:ext="edit" rotation="t" aspectratio="t" selection="t" verticies="t" text="t" adjusthandles="t" grouping="t" shapetype="t"/>
              <w10:wrap anchorx="page" anchory="page"/>
            </v:rect>
          </w:pict>
        </mc:Fallback>
      </mc:AlternateContent>
    </w:r>
    <w:r>
      <w:rPr>
        <w:noProof/>
      </w:rPr>
      <mc:AlternateContent>
        <mc:Choice Requires="wps">
          <w:drawing>
            <wp:anchor distT="0" distB="0" distL="114300" distR="114300" simplePos="0" relativeHeight="251658244" behindDoc="1" locked="0" layoutInCell="1" allowOverlap="1" wp14:anchorId="51E6A4E3" wp14:editId="7DFF827E">
              <wp:simplePos x="0" y="0"/>
              <wp:positionH relativeFrom="page">
                <wp:posOffset>0</wp:posOffset>
              </wp:positionH>
              <wp:positionV relativeFrom="page">
                <wp:posOffset>0</wp:posOffset>
              </wp:positionV>
              <wp:extent cx="0" cy="0"/>
              <wp:effectExtent l="0" t="0" r="0" b="0"/>
              <wp:wrapNone/>
              <wp:docPr id="346772034"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w:pict>
            <v:rect w14:anchorId="05A7317F" id="Rectangle 1" o:spid="_x0000_s1026" style="position:absolute;margin-left:0;margin-top:0;width:0;height:0;z-index:-25165823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" stroked="f" strokeweight="0">
              <o:lock v:ext="edit" rotation="t" aspectratio="t" selection="t" verticies="t" text="t" adjusthandles="t" grouping="t" shapetype="t"/>
              <w10:wrap anchorx="page" anchory="page"/>
            </v:rect>
          </w:pict>
        </mc:Fallback>
      </mc:AlternateContent>
    </w:r>
    <w:r>
      <w:rPr>
        <w:noProof/>
      </w:rPr>
      <mc:AlternateContent>
        <mc:Choice Requires="wps">
          <w:drawing>
            <wp:anchor distT="0" distB="0" distL="114300" distR="114300" simplePos="0" relativeHeight="251658241" behindDoc="1" locked="0" layoutInCell="1" allowOverlap="1" wp14:anchorId="51E6A4E3" wp14:editId="7DFF827E">
              <wp:simplePos x="0" y="0"/>
              <wp:positionH relativeFrom="page">
                <wp:posOffset>0</wp:posOffset>
              </wp:positionH>
              <wp:positionV relativeFrom="page">
                <wp:posOffset>0</wp:posOffset>
              </wp:positionV>
              <wp:extent cx="0" cy="0"/>
              <wp:effectExtent l="0" t="0" r="0" b="0"/>
              <wp:wrapNone/>
              <wp:docPr id="1441823223"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w:pict>
            <v:rect w14:anchorId="3BDE52F8" id="Rectangle 1" o:spid="_x0000_s1026" style="position:absolute;margin-left:0;margin-top:0;width:0;height:0;z-index:-251658239;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" stroked="f" strokeweight="0">
              <o:lock v:ext="edit" rotation="t" aspectratio="t" selection="t" verticies="t" text="t" adjusthandles="t" grouping="t" shapetype="t"/>
              <w10:wrap anchorx="page" anchory="page"/>
            </v:rect>
          </w:pict>
        </mc:Fallback>
      </mc:AlternateContent>
    </w:r>
  </w:p>
  <w:p w14:paraId="6496259E" w14:textId="77777777" w:rsidR="00FF730B" w:rsidRDefault="00FF73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06ECC" w14:textId="77777777" w:rsidR="00D87514" w:rsidRDefault="00D87514">
    <w:pPr>
      <w:pStyle w:val="Header"/>
      <w:rPr>
        <w:sz w:val="20"/>
      </w:rPr>
    </w:pPr>
    <w:r>
      <w:rPr>
        <w:sz w:val="20"/>
      </w:rPr>
      <w:t>Confidential To Subscribers</w:t>
    </w:r>
  </w:p>
  <w:p w14:paraId="4A774746" w14:textId="77777777" w:rsidR="00D87514" w:rsidRDefault="00D87514">
    <w:pPr>
      <w:pStyle w:val="Header"/>
    </w:pPr>
  </w:p>
  <w:p w14:paraId="6A3F3B2E" w14:textId="77777777" w:rsidR="00D87514" w:rsidRDefault="00C468EE">
    <w:r>
      <w:rPr>
        <w:rFonts w:ascii="Arial" w:hAnsi="Arial"/>
        <w:noProof/>
      </w:rPr>
      <mc:AlternateContent>
        <mc:Choice Requires="wps">
          <w:drawing>
            <wp:anchor distT="0" distB="0" distL="114300" distR="114300" simplePos="0" relativeHeight="251658252" behindDoc="1" locked="0" layoutInCell="1" allowOverlap="1" wp14:anchorId="4D18165A" wp14:editId="4957D3DD">
              <wp:simplePos x="0" y="0"/>
              <wp:positionH relativeFrom="page">
                <wp:posOffset>0</wp:posOffset>
              </wp:positionH>
              <wp:positionV relativeFrom="page">
                <wp:posOffset>0</wp:posOffset>
              </wp:positionV>
              <wp:extent cx="0" cy="0"/>
              <wp:effectExtent l="0" t="0" r="0" b="0"/>
              <wp:wrapNone/>
              <wp:docPr id="1658834271"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w:pict>
            <v:rect w14:anchorId="061175DF" id="Rectangle 1" o:spid="_x0000_s1026" style="position:absolute;margin-left:0;margin-top:0;width:0;height:0;z-index:-251658228;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" stroked="f" strokeweight="0">
              <o:lock v:ext="edit" rotation="t" aspectratio="t" selection="t" verticies="t" text="t" adjusthandles="t" grouping="t" shapetype="t"/>
              <w10:wrap anchorx="page" anchory="page"/>
            </v:rect>
          </w:pict>
        </mc:Fallback>
      </mc:AlternateContent>
    </w:r>
  </w:p>
  <w:p w14:paraId="12C55151" w14:textId="00236DFD" w:rsidR="00D87514" w:rsidRDefault="00C468EE">
    <w:r>
      <w:rPr>
        <w:noProof/>
      </w:rPr>
      <mc:AlternateContent>
        <mc:Choice Requires="wps">
          <w:drawing>
            <wp:anchor distT="0" distB="0" distL="114300" distR="114300" simplePos="0" relativeHeight="251658249" behindDoc="1" locked="0" layoutInCell="1" allowOverlap="1" wp14:anchorId="1850869D" wp14:editId="4957D3DD">
              <wp:simplePos x="0" y="0"/>
              <wp:positionH relativeFrom="page">
                <wp:posOffset>0</wp:posOffset>
              </wp:positionH>
              <wp:positionV relativeFrom="page">
                <wp:posOffset>0</wp:posOffset>
              </wp:positionV>
              <wp:extent cx="0" cy="0"/>
              <wp:effectExtent l="0" t="0" r="0" b="0"/>
              <wp:wrapNone/>
              <wp:docPr id="1134573135"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w:pict>
            <v:rect w14:anchorId="09388C8B" id="Rectangle 1" o:spid="_x0000_s1026" style="position:absolute;margin-left:0;margin-top:0;width:0;height:0;z-index:-251658231;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" stroked="f" strokeweight="0">
              <o:lock v:ext="edit" rotation="t" aspectratio="t" selection="t" verticies="t" text="t" adjusthandles="t" grouping="t" shapetype="t"/>
              <w10:wrap anchorx="page" anchory="page"/>
            </v:rect>
          </w:pict>
        </mc:Fallback>
      </mc:AlternateContent>
    </w:r>
    <w:r>
      <w:rPr>
        <w:noProof/>
      </w:rPr>
      <mc:AlternateContent>
        <mc:Choice Requires="wps">
          <w:drawing>
            <wp:anchor distT="0" distB="0" distL="114300" distR="114300" simplePos="0" relativeHeight="251658246" behindDoc="1" locked="0" layoutInCell="1" allowOverlap="1" wp14:anchorId="1850869D" wp14:editId="4957D3DD">
              <wp:simplePos x="0" y="0"/>
              <wp:positionH relativeFrom="page">
                <wp:posOffset>0</wp:posOffset>
              </wp:positionH>
              <wp:positionV relativeFrom="page">
                <wp:posOffset>0</wp:posOffset>
              </wp:positionV>
              <wp:extent cx="0" cy="0"/>
              <wp:effectExtent l="0" t="0" r="0" b="0"/>
              <wp:wrapNone/>
              <wp:docPr id="1510319506"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w:pict>
            <v:rect w14:anchorId="61E6344E" id="Rectangle 1" o:spid="_x0000_s1026" style="position:absolute;margin-left:0;margin-top:0;width:0;height:0;z-index:-251658234;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" stroked="f" strokeweight="0">
              <o:lock v:ext="edit" rotation="t" aspectratio="t" selection="t" verticies="t" text="t" adjusthandles="t" grouping="t" shapetype="t"/>
              <w10:wrap anchorx="page" anchory="page"/>
            </v:rect>
          </w:pict>
        </mc:Fallback>
      </mc:AlternateContent>
    </w:r>
    <w:r>
      <w:rPr>
        <w:noProof/>
      </w:rPr>
      <mc:AlternateContent>
        <mc:Choice Requires="wps">
          <w:drawing>
            <wp:anchor distT="0" distB="0" distL="114300" distR="114300" simplePos="0" relativeHeight="251658243" behindDoc="1" locked="0" layoutInCell="1" allowOverlap="1" wp14:anchorId="1850869D" wp14:editId="4957D3DD">
              <wp:simplePos x="0" y="0"/>
              <wp:positionH relativeFrom="page">
                <wp:posOffset>0</wp:posOffset>
              </wp:positionH>
              <wp:positionV relativeFrom="page">
                <wp:posOffset>0</wp:posOffset>
              </wp:positionV>
              <wp:extent cx="0" cy="0"/>
              <wp:effectExtent l="0" t="0" r="0" b="0"/>
              <wp:wrapNone/>
              <wp:docPr id="366164724"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w:pict>
            <v:rect w14:anchorId="5F5B6609" id="Rectangle 1" o:spid="_x0000_s1026" style="position:absolute;margin-left:0;margin-top:0;width:0;height:0;z-index:-251658237;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" stroked="f" strokeweight="0">
              <o:lock v:ext="edit" rotation="t" aspectratio="t" selection="t" verticies="t" text="t" adjusthandles="t" grouping="t" shapetype="t"/>
              <w10:wrap anchorx="page" anchory="page"/>
            </v:rect>
          </w:pict>
        </mc:Fallback>
      </mc:AlternateContent>
    </w:r>
    <w:r>
      <w:rPr>
        <w:noProof/>
      </w:rPr>
      <mc:AlternateContent>
        <mc:Choice Requires="wps">
          <w:drawing>
            <wp:anchor distT="0" distB="0" distL="114300" distR="114300" simplePos="0" relativeHeight="251658240" behindDoc="1" locked="0" layoutInCell="1" allowOverlap="1" wp14:anchorId="1850869D" wp14:editId="4957D3DD">
              <wp:simplePos x="0" y="0"/>
              <wp:positionH relativeFrom="page">
                <wp:posOffset>0</wp:posOffset>
              </wp:positionH>
              <wp:positionV relativeFrom="page">
                <wp:posOffset>0</wp:posOffset>
              </wp:positionV>
              <wp:extent cx="0" cy="0"/>
              <wp:effectExtent l="0" t="0" r="0" b="0"/>
              <wp:wrapNone/>
              <wp:docPr id="762417955"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w:pict>
            <v:rect w14:anchorId="3C06DBB4" id="Rectangle 1" o:spid="_x0000_s1026" style="position:absolute;margin-left:0;margin-top:0;width:0;height:0;z-index:-251658240;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" stroked="f" strokeweight="0">
              <o:lock v:ext="edit" rotation="t" aspectratio="t" selection="t" verticies="t" text="t" adjusthandles="t" grouping="t" shapetype="t"/>
              <w10:wrap anchorx="page" anchory="page"/>
            </v:rect>
          </w:pict>
        </mc:Fallback>
      </mc:AlternateContent>
    </w:r>
  </w:p>
  <w:p w14:paraId="55C09DFB" w14:textId="77777777" w:rsidR="00D87514" w:rsidRDefault="00D8751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50C48" w14:textId="77777777" w:rsidR="00D87514" w:rsidRDefault="00D87514">
    <w:pPr>
      <w:pStyle w:val="Header"/>
    </w:pPr>
    <w:r>
      <w:rPr>
        <w:noProof/>
        <w:lang w:val="en-NZ" w:eastAsia="en-NZ"/>
      </w:rPr>
      <w:drawing>
        <wp:inline distT="0" distB="0" distL="0" distR="0" wp14:anchorId="71B9BF86" wp14:editId="7DF5594F">
          <wp:extent cx="2895600" cy="847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0" cy="847725"/>
                  </a:xfrm>
                  <a:prstGeom prst="rect">
                    <a:avLst/>
                  </a:prstGeom>
                  <a:solidFill>
                    <a:srgbClr val="FFFFFF"/>
                  </a:solidFill>
                  <a:ln>
                    <a:noFill/>
                  </a:ln>
                </pic:spPr>
              </pic:pic>
            </a:graphicData>
          </a:graphic>
        </wp:inline>
      </w:drawing>
    </w:r>
  </w:p>
  <w:p w14:paraId="4F74D1FD" w14:textId="77777777" w:rsidR="00D87514" w:rsidRDefault="00D87514">
    <w:pPr>
      <w:pStyle w:val="Header"/>
    </w:pPr>
  </w:p>
  <w:p w14:paraId="0114DEFF" w14:textId="77777777" w:rsidR="00D87514" w:rsidRDefault="00C468EE">
    <w:r>
      <w:rPr>
        <w:rFonts w:ascii="Arial" w:hAnsi="Arial"/>
        <w:noProof/>
      </w:rPr>
      <mc:AlternateContent>
        <mc:Choice Requires="wps">
          <w:drawing>
            <wp:anchor distT="0" distB="0" distL="114300" distR="114300" simplePos="0" relativeHeight="251658254" behindDoc="1" locked="0" layoutInCell="1" allowOverlap="1" wp14:anchorId="301E6099" wp14:editId="06278104">
              <wp:simplePos x="0" y="0"/>
              <wp:positionH relativeFrom="page">
                <wp:posOffset>0</wp:posOffset>
              </wp:positionH>
              <wp:positionV relativeFrom="page">
                <wp:posOffset>0</wp:posOffset>
              </wp:positionV>
              <wp:extent cx="0" cy="0"/>
              <wp:effectExtent l="0" t="0" r="0" b="0"/>
              <wp:wrapNone/>
              <wp:docPr id="1192332463"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w:pict>
            <v:rect w14:anchorId="569CEFC7" id="Rectangle 1" o:spid="_x0000_s1026" style="position:absolute;margin-left:0;margin-top:0;width:0;height:0;z-index:-25165822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" stroked="f" strokeweight="0">
              <o:lock v:ext="edit" rotation="t" aspectratio="t" selection="t" verticies="t" text="t" adjusthandles="t" grouping="t" shapetype="t"/>
              <w10:wrap anchorx="page" anchory="page"/>
            </v:rect>
          </w:pict>
        </mc:Fallback>
      </mc:AlternateContent>
    </w:r>
  </w:p>
  <w:p w14:paraId="6CFA39AF" w14:textId="16CE3D5D" w:rsidR="00D87514" w:rsidRDefault="00C468EE">
    <w:r>
      <w:rPr>
        <w:noProof/>
      </w:rPr>
      <mc:AlternateContent>
        <mc:Choice Requires="wps">
          <w:drawing>
            <wp:anchor distT="0" distB="0" distL="114300" distR="114300" simplePos="0" relativeHeight="251658251" behindDoc="1" locked="0" layoutInCell="1" allowOverlap="1" wp14:anchorId="6448E8F5" wp14:editId="06278104">
              <wp:simplePos x="0" y="0"/>
              <wp:positionH relativeFrom="page">
                <wp:posOffset>0</wp:posOffset>
              </wp:positionH>
              <wp:positionV relativeFrom="page">
                <wp:posOffset>0</wp:posOffset>
              </wp:positionV>
              <wp:extent cx="0" cy="0"/>
              <wp:effectExtent l="0" t="0" r="0" b="0"/>
              <wp:wrapNone/>
              <wp:docPr id="1905959371"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w:pict>
            <v:rect w14:anchorId="2DFE4739" id="Rectangle 1" o:spid="_x0000_s1026" style="position:absolute;margin-left:0;margin-top:0;width:0;height:0;z-index:-251658229;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" stroked="f" strokeweight="0">
              <o:lock v:ext="edit" rotation="t" aspectratio="t" selection="t" verticies="t" text="t" adjusthandles="t" grouping="t" shapetype="t"/>
              <w10:wrap anchorx="page" anchory="page"/>
            </v:rect>
          </w:pict>
        </mc:Fallback>
      </mc:AlternateContent>
    </w:r>
    <w:r>
      <w:rPr>
        <w:noProof/>
      </w:rPr>
      <mc:AlternateContent>
        <mc:Choice Requires="wps">
          <w:drawing>
            <wp:anchor distT="0" distB="0" distL="114300" distR="114300" simplePos="0" relativeHeight="251658248" behindDoc="1" locked="0" layoutInCell="1" allowOverlap="1" wp14:anchorId="6448E8F5" wp14:editId="06278104">
              <wp:simplePos x="0" y="0"/>
              <wp:positionH relativeFrom="page">
                <wp:posOffset>0</wp:posOffset>
              </wp:positionH>
              <wp:positionV relativeFrom="page">
                <wp:posOffset>0</wp:posOffset>
              </wp:positionV>
              <wp:extent cx="0" cy="0"/>
              <wp:effectExtent l="0" t="0" r="0" b="0"/>
              <wp:wrapNone/>
              <wp:docPr id="1010731631"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w:pict>
            <v:rect w14:anchorId="4223E21D" id="Rectangle 1" o:spid="_x0000_s1026" style="position:absolute;margin-left:0;margin-top:0;width:0;height:0;z-index:-251658232;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" stroked="f" strokeweight="0">
              <o:lock v:ext="edit" rotation="t" aspectratio="t" selection="t" verticies="t" text="t" adjusthandles="t" grouping="t" shapetype="t"/>
              <w10:wrap anchorx="page" anchory="page"/>
            </v:rect>
          </w:pict>
        </mc:Fallback>
      </mc:AlternateContent>
    </w:r>
    <w:r>
      <w:rPr>
        <w:noProof/>
      </w:rPr>
      <mc:AlternateContent>
        <mc:Choice Requires="wps">
          <w:drawing>
            <wp:anchor distT="0" distB="0" distL="114300" distR="114300" simplePos="0" relativeHeight="251658245" behindDoc="1" locked="0" layoutInCell="1" allowOverlap="1" wp14:anchorId="6448E8F5" wp14:editId="06278104">
              <wp:simplePos x="0" y="0"/>
              <wp:positionH relativeFrom="page">
                <wp:posOffset>0</wp:posOffset>
              </wp:positionH>
              <wp:positionV relativeFrom="page">
                <wp:posOffset>0</wp:posOffset>
              </wp:positionV>
              <wp:extent cx="0" cy="0"/>
              <wp:effectExtent l="0" t="0" r="0" b="0"/>
              <wp:wrapNone/>
              <wp:docPr id="501604496"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w:pict>
            <v:rect w14:anchorId="1F369C78" id="Rectangle 1" o:spid="_x0000_s1026" style="position:absolute;margin-left:0;margin-top:0;width:0;height:0;z-index:-251658235;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" stroked="f" strokeweight="0">
              <o:lock v:ext="edit" rotation="t" aspectratio="t" selection="t" verticies="t" text="t" adjusthandles="t" grouping="t" shapetype="t"/>
              <w10:wrap anchorx="page" anchory="page"/>
            </v:rect>
          </w:pict>
        </mc:Fallback>
      </mc:AlternateContent>
    </w:r>
    <w:r>
      <w:rPr>
        <w:noProof/>
      </w:rPr>
      <mc:AlternateContent>
        <mc:Choice Requires="wps">
          <w:drawing>
            <wp:anchor distT="0" distB="0" distL="114300" distR="114300" simplePos="0" relativeHeight="251658242" behindDoc="1" locked="0" layoutInCell="1" allowOverlap="1" wp14:anchorId="6448E8F5" wp14:editId="06278104">
              <wp:simplePos x="0" y="0"/>
              <wp:positionH relativeFrom="page">
                <wp:posOffset>0</wp:posOffset>
              </wp:positionH>
              <wp:positionV relativeFrom="page">
                <wp:posOffset>0</wp:posOffset>
              </wp:positionV>
              <wp:extent cx="0" cy="0"/>
              <wp:effectExtent l="0" t="0" r="0" b="0"/>
              <wp:wrapNone/>
              <wp:docPr id="171226268"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w:pict>
            <v:rect w14:anchorId="4D039867" id="Rectangle 1" o:spid="_x0000_s1026" style="position:absolute;margin-left:0;margin-top:0;width:0;height:0;z-index:-251658238;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" stroked="f" strokeweight="0">
              <o:lock v:ext="edit" rotation="t" aspectratio="t" selection="t" verticies="t" text="t" adjusthandles="t" grouping="t" shapetype="t"/>
              <w10:wrap anchorx="page" anchory="page"/>
            </v:rect>
          </w:pict>
        </mc:Fallback>
      </mc:AlternateContent>
    </w:r>
  </w:p>
  <w:p w14:paraId="2695A7D1" w14:textId="77777777" w:rsidR="00D87514" w:rsidRDefault="00D875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988A1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3"/>
    <w:multiLevelType w:val="singleLevel"/>
    <w:tmpl w:val="00000003"/>
    <w:name w:val="WW8Num3"/>
    <w:lvl w:ilvl="0">
      <w:start w:val="1"/>
      <w:numFmt w:val="bullet"/>
      <w:lvlText w:val=""/>
      <w:lvlJc w:val="left"/>
      <w:pPr>
        <w:tabs>
          <w:tab w:val="num" w:pos="1287"/>
        </w:tabs>
        <w:ind w:left="1287" w:hanging="567"/>
      </w:pPr>
      <w:rPr>
        <w:rFonts w:ascii="Symbol" w:hAnsi="Symbol"/>
        <w:sz w:val="20"/>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05"/>
    <w:multiLevelType w:val="multilevel"/>
    <w:tmpl w:val="00000005"/>
    <w:name w:val="WW8Num8"/>
    <w:lvl w:ilvl="0">
      <w:start w:val="1"/>
      <w:numFmt w:val="decimal"/>
      <w:lvlText w:val="%1."/>
      <w:lvlJc w:val="left"/>
      <w:pPr>
        <w:tabs>
          <w:tab w:val="num" w:pos="709"/>
        </w:tabs>
        <w:ind w:left="709" w:hanging="567"/>
      </w:pPr>
      <w:rPr>
        <w:rFonts w:ascii="Arial" w:hAnsi="Arial" w:cs="Times New Roman"/>
        <w:sz w:val="24"/>
      </w:rPr>
    </w:lvl>
    <w:lvl w:ilvl="1">
      <w:start w:val="1"/>
      <w:numFmt w:val="bullet"/>
      <w:lvlText w:val=""/>
      <w:lvlJc w:val="left"/>
      <w:pPr>
        <w:tabs>
          <w:tab w:val="num" w:pos="960"/>
        </w:tabs>
        <w:ind w:left="960" w:hanging="360"/>
      </w:pPr>
      <w:rPr>
        <w:rFonts w:ascii="Symbol" w:hAnsi="Symbol"/>
      </w:rPr>
    </w:lvl>
    <w:lvl w:ilvl="2">
      <w:start w:val="1"/>
      <w:numFmt w:val="decimal"/>
      <w:lvlText w:val="%3."/>
      <w:lvlJc w:val="left"/>
      <w:pPr>
        <w:tabs>
          <w:tab w:val="num" w:pos="1860"/>
        </w:tabs>
        <w:ind w:left="1860" w:hanging="360"/>
      </w:pPr>
      <w:rPr>
        <w:rFonts w:ascii="Wingdings" w:hAnsi="Wingdings" w:cs="Times New Roman"/>
      </w:rPr>
    </w:lvl>
    <w:lvl w:ilvl="3">
      <w:start w:val="1"/>
      <w:numFmt w:val="decimal"/>
      <w:lvlText w:val="%4."/>
      <w:lvlJc w:val="left"/>
      <w:pPr>
        <w:tabs>
          <w:tab w:val="num" w:pos="2400"/>
        </w:tabs>
        <w:ind w:left="2400" w:hanging="360"/>
      </w:pPr>
      <w:rPr>
        <w:rFonts w:cs="Times New Roman"/>
      </w:rPr>
    </w:lvl>
    <w:lvl w:ilvl="4">
      <w:start w:val="1"/>
      <w:numFmt w:val="lowerLetter"/>
      <w:lvlText w:val="%5."/>
      <w:lvlJc w:val="left"/>
      <w:pPr>
        <w:tabs>
          <w:tab w:val="num" w:pos="3120"/>
        </w:tabs>
        <w:ind w:left="3120" w:hanging="360"/>
      </w:pPr>
      <w:rPr>
        <w:rFonts w:cs="Times New Roman"/>
      </w:rPr>
    </w:lvl>
    <w:lvl w:ilvl="5">
      <w:start w:val="1"/>
      <w:numFmt w:val="lowerRoman"/>
      <w:lvlText w:val="%6."/>
      <w:lvlJc w:val="left"/>
      <w:pPr>
        <w:tabs>
          <w:tab w:val="num" w:pos="3840"/>
        </w:tabs>
        <w:ind w:left="3840" w:hanging="180"/>
      </w:pPr>
      <w:rPr>
        <w:rFonts w:cs="Times New Roman"/>
      </w:rPr>
    </w:lvl>
    <w:lvl w:ilvl="6">
      <w:start w:val="1"/>
      <w:numFmt w:val="decimal"/>
      <w:lvlText w:val="%7."/>
      <w:lvlJc w:val="left"/>
      <w:pPr>
        <w:tabs>
          <w:tab w:val="num" w:pos="4560"/>
        </w:tabs>
        <w:ind w:left="4560" w:hanging="360"/>
      </w:pPr>
      <w:rPr>
        <w:rFonts w:cs="Times New Roman"/>
      </w:rPr>
    </w:lvl>
    <w:lvl w:ilvl="7">
      <w:start w:val="1"/>
      <w:numFmt w:val="lowerLetter"/>
      <w:lvlText w:val="%8."/>
      <w:lvlJc w:val="left"/>
      <w:pPr>
        <w:tabs>
          <w:tab w:val="num" w:pos="5280"/>
        </w:tabs>
        <w:ind w:left="5280" w:hanging="360"/>
      </w:pPr>
      <w:rPr>
        <w:rFonts w:cs="Times New Roman"/>
      </w:rPr>
    </w:lvl>
    <w:lvl w:ilvl="8">
      <w:start w:val="1"/>
      <w:numFmt w:val="lowerRoman"/>
      <w:lvlText w:val="%9."/>
      <w:lvlJc w:val="left"/>
      <w:pPr>
        <w:tabs>
          <w:tab w:val="num" w:pos="6000"/>
        </w:tabs>
        <w:ind w:left="6000" w:hanging="180"/>
      </w:pPr>
      <w:rPr>
        <w:rFonts w:cs="Times New Roman"/>
      </w:rPr>
    </w:lvl>
  </w:abstractNum>
  <w:abstractNum w:abstractNumId="5" w15:restartNumberingAfterBreak="0">
    <w:nsid w:val="0000000F"/>
    <w:multiLevelType w:val="multilevel"/>
    <w:tmpl w:val="0000000F"/>
    <w:name w:val="WW8Num15"/>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6" w15:restartNumberingAfterBreak="0">
    <w:nsid w:val="02EC5153"/>
    <w:multiLevelType w:val="hybridMultilevel"/>
    <w:tmpl w:val="3EC097BC"/>
    <w:lvl w:ilvl="0" w:tplc="FFFFFFFF">
      <w:start w:val="1"/>
      <w:numFmt w:val="bullet"/>
      <w:lvlText w:val=""/>
      <w:lvlJc w:val="left"/>
      <w:pPr>
        <w:ind w:left="360" w:hanging="360"/>
      </w:pPr>
      <w:rPr>
        <w:rFonts w:ascii="Symbol" w:hAnsi="Symbol" w:hint="default"/>
        <w:b w:val="0"/>
        <w:i w:val="0"/>
      </w:rPr>
    </w:lvl>
    <w:lvl w:ilvl="1" w:tplc="14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4E7489C"/>
    <w:multiLevelType w:val="hybridMultilevel"/>
    <w:tmpl w:val="B08C88F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062979D6"/>
    <w:multiLevelType w:val="hybridMultilevel"/>
    <w:tmpl w:val="B0FAE5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0BC10C85"/>
    <w:multiLevelType w:val="hybridMultilevel"/>
    <w:tmpl w:val="E452CE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0C1839B7"/>
    <w:multiLevelType w:val="hybridMultilevel"/>
    <w:tmpl w:val="C07E2F94"/>
    <w:lvl w:ilvl="0" w:tplc="14090001">
      <w:start w:val="1"/>
      <w:numFmt w:val="bullet"/>
      <w:lvlText w:val=""/>
      <w:lvlJc w:val="left"/>
      <w:pPr>
        <w:ind w:left="1040" w:hanging="360"/>
      </w:pPr>
      <w:rPr>
        <w:rFonts w:ascii="Symbol" w:hAnsi="Symbol" w:hint="default"/>
      </w:rPr>
    </w:lvl>
    <w:lvl w:ilvl="1" w:tplc="14090003" w:tentative="1">
      <w:start w:val="1"/>
      <w:numFmt w:val="bullet"/>
      <w:lvlText w:val="o"/>
      <w:lvlJc w:val="left"/>
      <w:pPr>
        <w:ind w:left="1760" w:hanging="360"/>
      </w:pPr>
      <w:rPr>
        <w:rFonts w:ascii="Courier New" w:hAnsi="Courier New" w:cs="Courier New" w:hint="default"/>
      </w:rPr>
    </w:lvl>
    <w:lvl w:ilvl="2" w:tplc="14090005" w:tentative="1">
      <w:start w:val="1"/>
      <w:numFmt w:val="bullet"/>
      <w:lvlText w:val=""/>
      <w:lvlJc w:val="left"/>
      <w:pPr>
        <w:ind w:left="2480" w:hanging="360"/>
      </w:pPr>
      <w:rPr>
        <w:rFonts w:ascii="Wingdings" w:hAnsi="Wingdings" w:hint="default"/>
      </w:rPr>
    </w:lvl>
    <w:lvl w:ilvl="3" w:tplc="14090001" w:tentative="1">
      <w:start w:val="1"/>
      <w:numFmt w:val="bullet"/>
      <w:lvlText w:val=""/>
      <w:lvlJc w:val="left"/>
      <w:pPr>
        <w:ind w:left="3200" w:hanging="360"/>
      </w:pPr>
      <w:rPr>
        <w:rFonts w:ascii="Symbol" w:hAnsi="Symbol" w:hint="default"/>
      </w:rPr>
    </w:lvl>
    <w:lvl w:ilvl="4" w:tplc="14090003" w:tentative="1">
      <w:start w:val="1"/>
      <w:numFmt w:val="bullet"/>
      <w:lvlText w:val="o"/>
      <w:lvlJc w:val="left"/>
      <w:pPr>
        <w:ind w:left="3920" w:hanging="360"/>
      </w:pPr>
      <w:rPr>
        <w:rFonts w:ascii="Courier New" w:hAnsi="Courier New" w:cs="Courier New" w:hint="default"/>
      </w:rPr>
    </w:lvl>
    <w:lvl w:ilvl="5" w:tplc="14090005" w:tentative="1">
      <w:start w:val="1"/>
      <w:numFmt w:val="bullet"/>
      <w:lvlText w:val=""/>
      <w:lvlJc w:val="left"/>
      <w:pPr>
        <w:ind w:left="4640" w:hanging="360"/>
      </w:pPr>
      <w:rPr>
        <w:rFonts w:ascii="Wingdings" w:hAnsi="Wingdings" w:hint="default"/>
      </w:rPr>
    </w:lvl>
    <w:lvl w:ilvl="6" w:tplc="14090001" w:tentative="1">
      <w:start w:val="1"/>
      <w:numFmt w:val="bullet"/>
      <w:lvlText w:val=""/>
      <w:lvlJc w:val="left"/>
      <w:pPr>
        <w:ind w:left="5360" w:hanging="360"/>
      </w:pPr>
      <w:rPr>
        <w:rFonts w:ascii="Symbol" w:hAnsi="Symbol" w:hint="default"/>
      </w:rPr>
    </w:lvl>
    <w:lvl w:ilvl="7" w:tplc="14090003" w:tentative="1">
      <w:start w:val="1"/>
      <w:numFmt w:val="bullet"/>
      <w:lvlText w:val="o"/>
      <w:lvlJc w:val="left"/>
      <w:pPr>
        <w:ind w:left="6080" w:hanging="360"/>
      </w:pPr>
      <w:rPr>
        <w:rFonts w:ascii="Courier New" w:hAnsi="Courier New" w:cs="Courier New" w:hint="default"/>
      </w:rPr>
    </w:lvl>
    <w:lvl w:ilvl="8" w:tplc="14090005" w:tentative="1">
      <w:start w:val="1"/>
      <w:numFmt w:val="bullet"/>
      <w:lvlText w:val=""/>
      <w:lvlJc w:val="left"/>
      <w:pPr>
        <w:ind w:left="6800" w:hanging="360"/>
      </w:pPr>
      <w:rPr>
        <w:rFonts w:ascii="Wingdings" w:hAnsi="Wingdings" w:hint="default"/>
      </w:rPr>
    </w:lvl>
  </w:abstractNum>
  <w:abstractNum w:abstractNumId="11" w15:restartNumberingAfterBreak="0">
    <w:nsid w:val="0ED4006C"/>
    <w:multiLevelType w:val="hybridMultilevel"/>
    <w:tmpl w:val="E15884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F782FF2"/>
    <w:multiLevelType w:val="hybridMultilevel"/>
    <w:tmpl w:val="063A1B7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10C57B20"/>
    <w:multiLevelType w:val="multilevel"/>
    <w:tmpl w:val="888289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45A0722"/>
    <w:multiLevelType w:val="multilevel"/>
    <w:tmpl w:val="5624362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7D4C6E"/>
    <w:multiLevelType w:val="hybridMultilevel"/>
    <w:tmpl w:val="4894AED8"/>
    <w:lvl w:ilvl="0" w:tplc="14090001">
      <w:start w:val="1"/>
      <w:numFmt w:val="bullet"/>
      <w:lvlText w:val=""/>
      <w:lvlJc w:val="left"/>
      <w:pPr>
        <w:ind w:left="1321" w:hanging="360"/>
      </w:pPr>
      <w:rPr>
        <w:rFonts w:ascii="Symbol" w:hAnsi="Symbol" w:hint="default"/>
      </w:rPr>
    </w:lvl>
    <w:lvl w:ilvl="1" w:tplc="14090003" w:tentative="1">
      <w:start w:val="1"/>
      <w:numFmt w:val="bullet"/>
      <w:lvlText w:val="o"/>
      <w:lvlJc w:val="left"/>
      <w:pPr>
        <w:ind w:left="2041" w:hanging="360"/>
      </w:pPr>
      <w:rPr>
        <w:rFonts w:ascii="Courier New" w:hAnsi="Courier New" w:cs="Courier New" w:hint="default"/>
      </w:rPr>
    </w:lvl>
    <w:lvl w:ilvl="2" w:tplc="14090005" w:tentative="1">
      <w:start w:val="1"/>
      <w:numFmt w:val="bullet"/>
      <w:lvlText w:val=""/>
      <w:lvlJc w:val="left"/>
      <w:pPr>
        <w:ind w:left="2761" w:hanging="360"/>
      </w:pPr>
      <w:rPr>
        <w:rFonts w:ascii="Wingdings" w:hAnsi="Wingdings" w:hint="default"/>
      </w:rPr>
    </w:lvl>
    <w:lvl w:ilvl="3" w:tplc="14090001" w:tentative="1">
      <w:start w:val="1"/>
      <w:numFmt w:val="bullet"/>
      <w:lvlText w:val=""/>
      <w:lvlJc w:val="left"/>
      <w:pPr>
        <w:ind w:left="3481" w:hanging="360"/>
      </w:pPr>
      <w:rPr>
        <w:rFonts w:ascii="Symbol" w:hAnsi="Symbol" w:hint="default"/>
      </w:rPr>
    </w:lvl>
    <w:lvl w:ilvl="4" w:tplc="14090003" w:tentative="1">
      <w:start w:val="1"/>
      <w:numFmt w:val="bullet"/>
      <w:lvlText w:val="o"/>
      <w:lvlJc w:val="left"/>
      <w:pPr>
        <w:ind w:left="4201" w:hanging="360"/>
      </w:pPr>
      <w:rPr>
        <w:rFonts w:ascii="Courier New" w:hAnsi="Courier New" w:cs="Courier New" w:hint="default"/>
      </w:rPr>
    </w:lvl>
    <w:lvl w:ilvl="5" w:tplc="14090005" w:tentative="1">
      <w:start w:val="1"/>
      <w:numFmt w:val="bullet"/>
      <w:lvlText w:val=""/>
      <w:lvlJc w:val="left"/>
      <w:pPr>
        <w:ind w:left="4921" w:hanging="360"/>
      </w:pPr>
      <w:rPr>
        <w:rFonts w:ascii="Wingdings" w:hAnsi="Wingdings" w:hint="default"/>
      </w:rPr>
    </w:lvl>
    <w:lvl w:ilvl="6" w:tplc="14090001" w:tentative="1">
      <w:start w:val="1"/>
      <w:numFmt w:val="bullet"/>
      <w:lvlText w:val=""/>
      <w:lvlJc w:val="left"/>
      <w:pPr>
        <w:ind w:left="5641" w:hanging="360"/>
      </w:pPr>
      <w:rPr>
        <w:rFonts w:ascii="Symbol" w:hAnsi="Symbol" w:hint="default"/>
      </w:rPr>
    </w:lvl>
    <w:lvl w:ilvl="7" w:tplc="14090003" w:tentative="1">
      <w:start w:val="1"/>
      <w:numFmt w:val="bullet"/>
      <w:lvlText w:val="o"/>
      <w:lvlJc w:val="left"/>
      <w:pPr>
        <w:ind w:left="6361" w:hanging="360"/>
      </w:pPr>
      <w:rPr>
        <w:rFonts w:ascii="Courier New" w:hAnsi="Courier New" w:cs="Courier New" w:hint="default"/>
      </w:rPr>
    </w:lvl>
    <w:lvl w:ilvl="8" w:tplc="14090005" w:tentative="1">
      <w:start w:val="1"/>
      <w:numFmt w:val="bullet"/>
      <w:lvlText w:val=""/>
      <w:lvlJc w:val="left"/>
      <w:pPr>
        <w:ind w:left="7081" w:hanging="360"/>
      </w:pPr>
      <w:rPr>
        <w:rFonts w:ascii="Wingdings" w:hAnsi="Wingdings" w:hint="default"/>
      </w:rPr>
    </w:lvl>
  </w:abstractNum>
  <w:abstractNum w:abstractNumId="16" w15:restartNumberingAfterBreak="0">
    <w:nsid w:val="1A0036A4"/>
    <w:multiLevelType w:val="hybridMultilevel"/>
    <w:tmpl w:val="C422FD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2112D83"/>
    <w:multiLevelType w:val="hybridMultilevel"/>
    <w:tmpl w:val="29563134"/>
    <w:lvl w:ilvl="0" w:tplc="0F5EFBAC">
      <w:start w:val="1"/>
      <w:numFmt w:val="decimal"/>
      <w:lvlText w:val="%1."/>
      <w:lvlJc w:val="left"/>
      <w:pPr>
        <w:ind w:left="360" w:hanging="360"/>
      </w:pPr>
      <w:rPr>
        <w:b w:val="0"/>
        <w:i w:val="0"/>
      </w:rPr>
    </w:lvl>
    <w:lvl w:ilvl="1" w:tplc="14090001">
      <w:start w:val="1"/>
      <w:numFmt w:val="bullet"/>
      <w:lvlText w:val=""/>
      <w:lvlJc w:val="left"/>
      <w:pPr>
        <w:ind w:left="1080" w:hanging="360"/>
      </w:pPr>
      <w:rPr>
        <w:rFonts w:ascii="Symbol" w:hAnsi="Symbol" w:hint="default"/>
      </w:r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8" w15:restartNumberingAfterBreak="0">
    <w:nsid w:val="2255456B"/>
    <w:multiLevelType w:val="hybridMultilevel"/>
    <w:tmpl w:val="DC707808"/>
    <w:lvl w:ilvl="0" w:tplc="14090001">
      <w:start w:val="1"/>
      <w:numFmt w:val="bullet"/>
      <w:lvlText w:val=""/>
      <w:lvlJc w:val="left"/>
      <w:pPr>
        <w:ind w:left="717" w:hanging="360"/>
      </w:pPr>
      <w:rPr>
        <w:rFonts w:ascii="Symbol" w:hAnsi="Symbol" w:hint="default"/>
      </w:rPr>
    </w:lvl>
    <w:lvl w:ilvl="1" w:tplc="14090003" w:tentative="1">
      <w:start w:val="1"/>
      <w:numFmt w:val="bullet"/>
      <w:lvlText w:val="o"/>
      <w:lvlJc w:val="left"/>
      <w:pPr>
        <w:ind w:left="1437" w:hanging="360"/>
      </w:pPr>
      <w:rPr>
        <w:rFonts w:ascii="Courier New" w:hAnsi="Courier New" w:cs="Courier New" w:hint="default"/>
      </w:rPr>
    </w:lvl>
    <w:lvl w:ilvl="2" w:tplc="14090005" w:tentative="1">
      <w:start w:val="1"/>
      <w:numFmt w:val="bullet"/>
      <w:lvlText w:val=""/>
      <w:lvlJc w:val="left"/>
      <w:pPr>
        <w:ind w:left="2157" w:hanging="360"/>
      </w:pPr>
      <w:rPr>
        <w:rFonts w:ascii="Wingdings" w:hAnsi="Wingdings" w:hint="default"/>
      </w:rPr>
    </w:lvl>
    <w:lvl w:ilvl="3" w:tplc="14090001" w:tentative="1">
      <w:start w:val="1"/>
      <w:numFmt w:val="bullet"/>
      <w:lvlText w:val=""/>
      <w:lvlJc w:val="left"/>
      <w:pPr>
        <w:ind w:left="2877" w:hanging="360"/>
      </w:pPr>
      <w:rPr>
        <w:rFonts w:ascii="Symbol" w:hAnsi="Symbol" w:hint="default"/>
      </w:rPr>
    </w:lvl>
    <w:lvl w:ilvl="4" w:tplc="14090003" w:tentative="1">
      <w:start w:val="1"/>
      <w:numFmt w:val="bullet"/>
      <w:lvlText w:val="o"/>
      <w:lvlJc w:val="left"/>
      <w:pPr>
        <w:ind w:left="3597" w:hanging="360"/>
      </w:pPr>
      <w:rPr>
        <w:rFonts w:ascii="Courier New" w:hAnsi="Courier New" w:cs="Courier New" w:hint="default"/>
      </w:rPr>
    </w:lvl>
    <w:lvl w:ilvl="5" w:tplc="14090005" w:tentative="1">
      <w:start w:val="1"/>
      <w:numFmt w:val="bullet"/>
      <w:lvlText w:val=""/>
      <w:lvlJc w:val="left"/>
      <w:pPr>
        <w:ind w:left="4317" w:hanging="360"/>
      </w:pPr>
      <w:rPr>
        <w:rFonts w:ascii="Wingdings" w:hAnsi="Wingdings" w:hint="default"/>
      </w:rPr>
    </w:lvl>
    <w:lvl w:ilvl="6" w:tplc="14090001" w:tentative="1">
      <w:start w:val="1"/>
      <w:numFmt w:val="bullet"/>
      <w:lvlText w:val=""/>
      <w:lvlJc w:val="left"/>
      <w:pPr>
        <w:ind w:left="5037" w:hanging="360"/>
      </w:pPr>
      <w:rPr>
        <w:rFonts w:ascii="Symbol" w:hAnsi="Symbol" w:hint="default"/>
      </w:rPr>
    </w:lvl>
    <w:lvl w:ilvl="7" w:tplc="14090003" w:tentative="1">
      <w:start w:val="1"/>
      <w:numFmt w:val="bullet"/>
      <w:lvlText w:val="o"/>
      <w:lvlJc w:val="left"/>
      <w:pPr>
        <w:ind w:left="5757" w:hanging="360"/>
      </w:pPr>
      <w:rPr>
        <w:rFonts w:ascii="Courier New" w:hAnsi="Courier New" w:cs="Courier New" w:hint="default"/>
      </w:rPr>
    </w:lvl>
    <w:lvl w:ilvl="8" w:tplc="14090005" w:tentative="1">
      <w:start w:val="1"/>
      <w:numFmt w:val="bullet"/>
      <w:lvlText w:val=""/>
      <w:lvlJc w:val="left"/>
      <w:pPr>
        <w:ind w:left="6477" w:hanging="360"/>
      </w:pPr>
      <w:rPr>
        <w:rFonts w:ascii="Wingdings" w:hAnsi="Wingdings" w:hint="default"/>
      </w:rPr>
    </w:lvl>
  </w:abstractNum>
  <w:abstractNum w:abstractNumId="19" w15:restartNumberingAfterBreak="0">
    <w:nsid w:val="2412761B"/>
    <w:multiLevelType w:val="hybridMultilevel"/>
    <w:tmpl w:val="6CB25526"/>
    <w:lvl w:ilvl="0" w:tplc="14090001">
      <w:start w:val="1"/>
      <w:numFmt w:val="bullet"/>
      <w:lvlText w:val=""/>
      <w:lvlJc w:val="left"/>
      <w:pPr>
        <w:ind w:left="360" w:hanging="360"/>
      </w:pPr>
      <w:rPr>
        <w:rFonts w:ascii="Symbol" w:hAnsi="Symbol" w:hint="default"/>
        <w:b w:val="0"/>
        <w:i w:val="0"/>
      </w:r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0" w15:restartNumberingAfterBreak="0">
    <w:nsid w:val="25D641DD"/>
    <w:multiLevelType w:val="hybridMultilevel"/>
    <w:tmpl w:val="3A1E2446"/>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9740A9D"/>
    <w:multiLevelType w:val="hybridMultilevel"/>
    <w:tmpl w:val="D756C052"/>
    <w:lvl w:ilvl="0" w:tplc="FFFFFFFF">
      <w:start w:val="1"/>
      <w:numFmt w:val="bullet"/>
      <w:lvlText w:val=""/>
      <w:lvlJc w:val="left"/>
      <w:pPr>
        <w:ind w:left="360" w:hanging="360"/>
      </w:pPr>
      <w:rPr>
        <w:rFonts w:ascii="Symbol" w:hAnsi="Symbol" w:hint="default"/>
        <w:b w:val="0"/>
        <w:i w:val="0"/>
      </w:rPr>
    </w:lvl>
    <w:lvl w:ilvl="1" w:tplc="14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1455F8E"/>
    <w:multiLevelType w:val="multilevel"/>
    <w:tmpl w:val="18142E30"/>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2160"/>
        </w:tabs>
        <w:ind w:left="2160" w:hanging="360"/>
      </w:pPr>
      <w:rPr>
        <w:rFonts w:ascii="Symbol" w:hAnsi="Symbol" w:hint="default"/>
        <w:sz w:val="20"/>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3" w15:restartNumberingAfterBreak="0">
    <w:nsid w:val="31CB032E"/>
    <w:multiLevelType w:val="hybridMultilevel"/>
    <w:tmpl w:val="7222FB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FD62800"/>
    <w:multiLevelType w:val="hybridMultilevel"/>
    <w:tmpl w:val="6102E7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146590D"/>
    <w:multiLevelType w:val="hybridMultilevel"/>
    <w:tmpl w:val="115072F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cs="Wingdings" w:hint="default"/>
      </w:rPr>
    </w:lvl>
    <w:lvl w:ilvl="3" w:tplc="14090001" w:tentative="1">
      <w:start w:val="1"/>
      <w:numFmt w:val="bullet"/>
      <w:lvlText w:val=""/>
      <w:lvlJc w:val="left"/>
      <w:pPr>
        <w:ind w:left="2520" w:hanging="360"/>
      </w:pPr>
      <w:rPr>
        <w:rFonts w:ascii="Symbol" w:hAnsi="Symbol" w:cs="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cs="Wingdings" w:hint="default"/>
      </w:rPr>
    </w:lvl>
    <w:lvl w:ilvl="6" w:tplc="14090001" w:tentative="1">
      <w:start w:val="1"/>
      <w:numFmt w:val="bullet"/>
      <w:lvlText w:val=""/>
      <w:lvlJc w:val="left"/>
      <w:pPr>
        <w:ind w:left="4680" w:hanging="360"/>
      </w:pPr>
      <w:rPr>
        <w:rFonts w:ascii="Symbol" w:hAnsi="Symbol" w:cs="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42A277EB"/>
    <w:multiLevelType w:val="multilevel"/>
    <w:tmpl w:val="B8D09DCE"/>
    <w:name w:val="WW8Num22"/>
    <w:lvl w:ilvl="0">
      <w:start w:val="2"/>
      <w:numFmt w:val="decimal"/>
      <w:lvlText w:val="%1."/>
      <w:lvlJc w:val="left"/>
      <w:pPr>
        <w:tabs>
          <w:tab w:val="num" w:pos="709"/>
        </w:tabs>
        <w:ind w:left="709" w:hanging="567"/>
      </w:pPr>
      <w:rPr>
        <w:rFonts w:ascii="Symbol" w:hAnsi="Symbol" w:hint="default"/>
        <w:sz w:val="20"/>
      </w:rPr>
    </w:lvl>
    <w:lvl w:ilvl="1">
      <w:start w:val="1"/>
      <w:numFmt w:val="bullet"/>
      <w:lvlText w:val=""/>
      <w:lvlJc w:val="left"/>
      <w:pPr>
        <w:tabs>
          <w:tab w:val="num" w:pos="960"/>
        </w:tabs>
        <w:ind w:left="960" w:hanging="360"/>
      </w:pPr>
      <w:rPr>
        <w:rFonts w:ascii="Symbol" w:hAnsi="Symbol" w:cs="Times New Roman" w:hint="default"/>
      </w:rPr>
    </w:lvl>
    <w:lvl w:ilvl="2">
      <w:start w:val="1"/>
      <w:numFmt w:val="decimal"/>
      <w:lvlText w:val="%3."/>
      <w:lvlJc w:val="left"/>
      <w:pPr>
        <w:tabs>
          <w:tab w:val="num" w:pos="1860"/>
        </w:tabs>
        <w:ind w:left="1860" w:hanging="360"/>
      </w:pPr>
      <w:rPr>
        <w:rFonts w:cs="Times New Roman" w:hint="default"/>
        <w:b w:val="0"/>
        <w:i w:val="0"/>
      </w:rPr>
    </w:lvl>
    <w:lvl w:ilvl="3">
      <w:start w:val="1"/>
      <w:numFmt w:val="decimal"/>
      <w:lvlText w:val="%4."/>
      <w:lvlJc w:val="left"/>
      <w:pPr>
        <w:tabs>
          <w:tab w:val="num" w:pos="2400"/>
        </w:tabs>
        <w:ind w:left="2400" w:hanging="360"/>
      </w:pPr>
      <w:rPr>
        <w:rFonts w:cs="Times New Roman" w:hint="default"/>
      </w:rPr>
    </w:lvl>
    <w:lvl w:ilvl="4">
      <w:start w:val="1"/>
      <w:numFmt w:val="lowerLetter"/>
      <w:lvlText w:val="%5."/>
      <w:lvlJc w:val="left"/>
      <w:pPr>
        <w:tabs>
          <w:tab w:val="num" w:pos="3120"/>
        </w:tabs>
        <w:ind w:left="3120" w:hanging="360"/>
      </w:pPr>
      <w:rPr>
        <w:rFonts w:cs="Times New Roman" w:hint="default"/>
      </w:rPr>
    </w:lvl>
    <w:lvl w:ilvl="5">
      <w:start w:val="1"/>
      <w:numFmt w:val="lowerRoman"/>
      <w:lvlText w:val="%6."/>
      <w:lvlJc w:val="left"/>
      <w:pPr>
        <w:tabs>
          <w:tab w:val="num" w:pos="3840"/>
        </w:tabs>
        <w:ind w:left="3840" w:hanging="180"/>
      </w:pPr>
      <w:rPr>
        <w:rFonts w:cs="Times New Roman" w:hint="default"/>
      </w:rPr>
    </w:lvl>
    <w:lvl w:ilvl="6">
      <w:start w:val="1"/>
      <w:numFmt w:val="decimal"/>
      <w:lvlText w:val="%7."/>
      <w:lvlJc w:val="left"/>
      <w:pPr>
        <w:tabs>
          <w:tab w:val="num" w:pos="4560"/>
        </w:tabs>
        <w:ind w:left="4560" w:hanging="360"/>
      </w:pPr>
      <w:rPr>
        <w:rFonts w:cs="Times New Roman" w:hint="default"/>
      </w:rPr>
    </w:lvl>
    <w:lvl w:ilvl="7">
      <w:start w:val="1"/>
      <w:numFmt w:val="lowerLetter"/>
      <w:lvlText w:val="%8."/>
      <w:lvlJc w:val="left"/>
      <w:pPr>
        <w:tabs>
          <w:tab w:val="num" w:pos="5280"/>
        </w:tabs>
        <w:ind w:left="5280" w:hanging="360"/>
      </w:pPr>
      <w:rPr>
        <w:rFonts w:cs="Times New Roman" w:hint="default"/>
      </w:rPr>
    </w:lvl>
    <w:lvl w:ilvl="8">
      <w:start w:val="1"/>
      <w:numFmt w:val="lowerRoman"/>
      <w:lvlText w:val="%9."/>
      <w:lvlJc w:val="left"/>
      <w:pPr>
        <w:tabs>
          <w:tab w:val="num" w:pos="6000"/>
        </w:tabs>
        <w:ind w:left="6000" w:hanging="180"/>
      </w:pPr>
      <w:rPr>
        <w:rFonts w:cs="Times New Roman" w:hint="default"/>
      </w:rPr>
    </w:lvl>
  </w:abstractNum>
  <w:abstractNum w:abstractNumId="27" w15:restartNumberingAfterBreak="0">
    <w:nsid w:val="43073765"/>
    <w:multiLevelType w:val="hybridMultilevel"/>
    <w:tmpl w:val="DB04C892"/>
    <w:lvl w:ilvl="0" w:tplc="FFFFFFFF">
      <w:start w:val="1"/>
      <w:numFmt w:val="bullet"/>
      <w:lvlText w:val=""/>
      <w:lvlJc w:val="left"/>
      <w:pPr>
        <w:ind w:left="360" w:hanging="360"/>
      </w:pPr>
      <w:rPr>
        <w:rFonts w:ascii="Symbol" w:hAnsi="Symbol" w:hint="default"/>
        <w:b w:val="0"/>
        <w:i w:val="0"/>
      </w:rPr>
    </w:lvl>
    <w:lvl w:ilvl="1" w:tplc="14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AC947DD"/>
    <w:multiLevelType w:val="hybridMultilevel"/>
    <w:tmpl w:val="6ED41B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BFE0812"/>
    <w:multiLevelType w:val="hybridMultilevel"/>
    <w:tmpl w:val="A41416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2D91A10"/>
    <w:multiLevelType w:val="hybridMultilevel"/>
    <w:tmpl w:val="2F16BB6E"/>
    <w:lvl w:ilvl="0" w:tplc="14090001">
      <w:start w:val="1"/>
      <w:numFmt w:val="bullet"/>
      <w:lvlText w:val=""/>
      <w:lvlJc w:val="left"/>
      <w:pPr>
        <w:ind w:left="360" w:hanging="360"/>
      </w:pPr>
      <w:rPr>
        <w:rFonts w:ascii="Symbol" w:hAnsi="Symbol" w:hint="default"/>
        <w:b w:val="0"/>
        <w:i w:val="0"/>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87837CC"/>
    <w:multiLevelType w:val="hybridMultilevel"/>
    <w:tmpl w:val="A03000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28E301A"/>
    <w:multiLevelType w:val="hybridMultilevel"/>
    <w:tmpl w:val="1E46D2C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3" w15:restartNumberingAfterBreak="0">
    <w:nsid w:val="66FE6865"/>
    <w:multiLevelType w:val="hybridMultilevel"/>
    <w:tmpl w:val="9F2CD1AE"/>
    <w:lvl w:ilvl="0" w:tplc="FFFFFFFF">
      <w:start w:val="1"/>
      <w:numFmt w:val="decimal"/>
      <w:lvlText w:val="%1."/>
      <w:lvlJc w:val="left"/>
      <w:pPr>
        <w:ind w:left="360" w:hanging="360"/>
      </w:pPr>
      <w:rPr>
        <w:b w:val="0"/>
        <w:i w:val="0"/>
      </w:rPr>
    </w:lvl>
    <w:lvl w:ilvl="1" w:tplc="17685278">
      <w:start w:val="1"/>
      <w:numFmt w:val="upperLetter"/>
      <w:lvlText w:val="%2."/>
      <w:lvlJc w:val="left"/>
      <w:pPr>
        <w:ind w:left="1080" w:hanging="360"/>
      </w:pPr>
      <w:rPr>
        <w:rFonts w:ascii="Arial" w:hAnsi="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9CB6D93"/>
    <w:multiLevelType w:val="hybridMultilevel"/>
    <w:tmpl w:val="EEC228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CC51E8A"/>
    <w:multiLevelType w:val="hybridMultilevel"/>
    <w:tmpl w:val="29563134"/>
    <w:lvl w:ilvl="0" w:tplc="FFFFFFFF">
      <w:start w:val="1"/>
      <w:numFmt w:val="decimal"/>
      <w:lvlText w:val="%1."/>
      <w:lvlJc w:val="left"/>
      <w:pPr>
        <w:ind w:left="360" w:hanging="360"/>
      </w:pPr>
      <w:rPr>
        <w:b w:val="0"/>
        <w:i w:val="0"/>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DEE1A2B"/>
    <w:multiLevelType w:val="hybridMultilevel"/>
    <w:tmpl w:val="3B4887C0"/>
    <w:lvl w:ilvl="0" w:tplc="14090001">
      <w:start w:val="1"/>
      <w:numFmt w:val="bullet"/>
      <w:lvlText w:val=""/>
      <w:lvlJc w:val="left"/>
      <w:pPr>
        <w:ind w:left="1069" w:hanging="360"/>
      </w:pPr>
      <w:rPr>
        <w:rFonts w:ascii="Symbol" w:hAnsi="Symbol"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37" w15:restartNumberingAfterBreak="0">
    <w:nsid w:val="76F26C30"/>
    <w:multiLevelType w:val="hybridMultilevel"/>
    <w:tmpl w:val="905EF7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abstractNum w:abstractNumId="39" w15:restartNumberingAfterBreak="0">
    <w:nsid w:val="7C966081"/>
    <w:multiLevelType w:val="hybridMultilevel"/>
    <w:tmpl w:val="24DEA41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0" w15:restartNumberingAfterBreak="0">
    <w:nsid w:val="7F7E5E52"/>
    <w:multiLevelType w:val="hybridMultilevel"/>
    <w:tmpl w:val="5B38CDE2"/>
    <w:lvl w:ilvl="0" w:tplc="14090001">
      <w:start w:val="1"/>
      <w:numFmt w:val="bullet"/>
      <w:lvlText w:val=""/>
      <w:lvlJc w:val="left"/>
      <w:pPr>
        <w:ind w:left="785" w:hanging="360"/>
      </w:pPr>
      <w:rPr>
        <w:rFonts w:ascii="Symbol" w:hAnsi="Symbol" w:hint="default"/>
      </w:rPr>
    </w:lvl>
    <w:lvl w:ilvl="1" w:tplc="14090003" w:tentative="1">
      <w:start w:val="1"/>
      <w:numFmt w:val="bullet"/>
      <w:lvlText w:val="o"/>
      <w:lvlJc w:val="left"/>
      <w:pPr>
        <w:ind w:left="1505" w:hanging="360"/>
      </w:pPr>
      <w:rPr>
        <w:rFonts w:ascii="Courier New" w:hAnsi="Courier New" w:cs="Courier New" w:hint="default"/>
      </w:rPr>
    </w:lvl>
    <w:lvl w:ilvl="2" w:tplc="14090005" w:tentative="1">
      <w:start w:val="1"/>
      <w:numFmt w:val="bullet"/>
      <w:lvlText w:val=""/>
      <w:lvlJc w:val="left"/>
      <w:pPr>
        <w:ind w:left="2225" w:hanging="360"/>
      </w:pPr>
      <w:rPr>
        <w:rFonts w:ascii="Wingdings" w:hAnsi="Wingdings" w:hint="default"/>
      </w:rPr>
    </w:lvl>
    <w:lvl w:ilvl="3" w:tplc="14090001" w:tentative="1">
      <w:start w:val="1"/>
      <w:numFmt w:val="bullet"/>
      <w:lvlText w:val=""/>
      <w:lvlJc w:val="left"/>
      <w:pPr>
        <w:ind w:left="2945" w:hanging="360"/>
      </w:pPr>
      <w:rPr>
        <w:rFonts w:ascii="Symbol" w:hAnsi="Symbol" w:hint="default"/>
      </w:rPr>
    </w:lvl>
    <w:lvl w:ilvl="4" w:tplc="14090003" w:tentative="1">
      <w:start w:val="1"/>
      <w:numFmt w:val="bullet"/>
      <w:lvlText w:val="o"/>
      <w:lvlJc w:val="left"/>
      <w:pPr>
        <w:ind w:left="3665" w:hanging="360"/>
      </w:pPr>
      <w:rPr>
        <w:rFonts w:ascii="Courier New" w:hAnsi="Courier New" w:cs="Courier New" w:hint="default"/>
      </w:rPr>
    </w:lvl>
    <w:lvl w:ilvl="5" w:tplc="14090005" w:tentative="1">
      <w:start w:val="1"/>
      <w:numFmt w:val="bullet"/>
      <w:lvlText w:val=""/>
      <w:lvlJc w:val="left"/>
      <w:pPr>
        <w:ind w:left="4385" w:hanging="360"/>
      </w:pPr>
      <w:rPr>
        <w:rFonts w:ascii="Wingdings" w:hAnsi="Wingdings" w:hint="default"/>
      </w:rPr>
    </w:lvl>
    <w:lvl w:ilvl="6" w:tplc="14090001" w:tentative="1">
      <w:start w:val="1"/>
      <w:numFmt w:val="bullet"/>
      <w:lvlText w:val=""/>
      <w:lvlJc w:val="left"/>
      <w:pPr>
        <w:ind w:left="5105" w:hanging="360"/>
      </w:pPr>
      <w:rPr>
        <w:rFonts w:ascii="Symbol" w:hAnsi="Symbol" w:hint="default"/>
      </w:rPr>
    </w:lvl>
    <w:lvl w:ilvl="7" w:tplc="14090003" w:tentative="1">
      <w:start w:val="1"/>
      <w:numFmt w:val="bullet"/>
      <w:lvlText w:val="o"/>
      <w:lvlJc w:val="left"/>
      <w:pPr>
        <w:ind w:left="5825" w:hanging="360"/>
      </w:pPr>
      <w:rPr>
        <w:rFonts w:ascii="Courier New" w:hAnsi="Courier New" w:cs="Courier New" w:hint="default"/>
      </w:rPr>
    </w:lvl>
    <w:lvl w:ilvl="8" w:tplc="14090005" w:tentative="1">
      <w:start w:val="1"/>
      <w:numFmt w:val="bullet"/>
      <w:lvlText w:val=""/>
      <w:lvlJc w:val="left"/>
      <w:pPr>
        <w:ind w:left="6545" w:hanging="360"/>
      </w:pPr>
      <w:rPr>
        <w:rFonts w:ascii="Wingdings" w:hAnsi="Wingdings" w:hint="default"/>
      </w:rPr>
    </w:lvl>
  </w:abstractNum>
  <w:num w:numId="1" w16cid:durableId="280310867">
    <w:abstractNumId w:val="1"/>
  </w:num>
  <w:num w:numId="2" w16cid:durableId="428934869">
    <w:abstractNumId w:val="36"/>
  </w:num>
  <w:num w:numId="3" w16cid:durableId="1477533034">
    <w:abstractNumId w:val="0"/>
  </w:num>
  <w:num w:numId="4" w16cid:durableId="1053695073">
    <w:abstractNumId w:val="17"/>
  </w:num>
  <w:num w:numId="5" w16cid:durableId="898050430">
    <w:abstractNumId w:val="38"/>
  </w:num>
  <w:num w:numId="6" w16cid:durableId="145779500">
    <w:abstractNumId w:val="22"/>
  </w:num>
  <w:num w:numId="7" w16cid:durableId="116460673">
    <w:abstractNumId w:val="25"/>
  </w:num>
  <w:num w:numId="8" w16cid:durableId="1551526801">
    <w:abstractNumId w:val="12"/>
  </w:num>
  <w:num w:numId="9" w16cid:durableId="1881431403">
    <w:abstractNumId w:val="19"/>
  </w:num>
  <w:num w:numId="10" w16cid:durableId="827213992">
    <w:abstractNumId w:val="33"/>
  </w:num>
  <w:num w:numId="11" w16cid:durableId="1428650598">
    <w:abstractNumId w:val="21"/>
  </w:num>
  <w:num w:numId="12" w16cid:durableId="889875396">
    <w:abstractNumId w:val="6"/>
  </w:num>
  <w:num w:numId="13" w16cid:durableId="922228863">
    <w:abstractNumId w:val="30"/>
  </w:num>
  <w:num w:numId="14" w16cid:durableId="2069261213">
    <w:abstractNumId w:val="27"/>
  </w:num>
  <w:num w:numId="15" w16cid:durableId="1732460645">
    <w:abstractNumId w:val="39"/>
  </w:num>
  <w:num w:numId="16" w16cid:durableId="1501000587">
    <w:abstractNumId w:val="20"/>
  </w:num>
  <w:num w:numId="17" w16cid:durableId="1712263660">
    <w:abstractNumId w:val="32"/>
  </w:num>
  <w:num w:numId="18" w16cid:durableId="1865747065">
    <w:abstractNumId w:val="7"/>
  </w:num>
  <w:num w:numId="19" w16cid:durableId="1152910173">
    <w:abstractNumId w:val="35"/>
  </w:num>
  <w:num w:numId="20" w16cid:durableId="1504473987">
    <w:abstractNumId w:val="15"/>
  </w:num>
  <w:num w:numId="21" w16cid:durableId="620457142">
    <w:abstractNumId w:val="24"/>
  </w:num>
  <w:num w:numId="22" w16cid:durableId="1510833753">
    <w:abstractNumId w:val="31"/>
  </w:num>
  <w:num w:numId="23" w16cid:durableId="20085507">
    <w:abstractNumId w:val="37"/>
  </w:num>
  <w:num w:numId="24" w16cid:durableId="750547436">
    <w:abstractNumId w:val="29"/>
  </w:num>
  <w:num w:numId="25" w16cid:durableId="706876375">
    <w:abstractNumId w:val="16"/>
  </w:num>
  <w:num w:numId="26" w16cid:durableId="62531779">
    <w:abstractNumId w:val="13"/>
  </w:num>
  <w:num w:numId="27" w16cid:durableId="1602906870">
    <w:abstractNumId w:val="18"/>
  </w:num>
  <w:num w:numId="28" w16cid:durableId="2049597709">
    <w:abstractNumId w:val="8"/>
  </w:num>
  <w:num w:numId="29" w16cid:durableId="570583255">
    <w:abstractNumId w:val="28"/>
  </w:num>
  <w:num w:numId="30" w16cid:durableId="1152330209">
    <w:abstractNumId w:val="34"/>
  </w:num>
  <w:num w:numId="31" w16cid:durableId="1114791505">
    <w:abstractNumId w:val="10"/>
  </w:num>
  <w:num w:numId="32" w16cid:durableId="1241599248">
    <w:abstractNumId w:val="14"/>
  </w:num>
  <w:num w:numId="33" w16cid:durableId="1547376014">
    <w:abstractNumId w:val="9"/>
  </w:num>
  <w:num w:numId="34" w16cid:durableId="1873222598">
    <w:abstractNumId w:val="23"/>
  </w:num>
  <w:num w:numId="35" w16cid:durableId="970941187">
    <w:abstractNumId w:val="11"/>
  </w:num>
  <w:num w:numId="36" w16cid:durableId="2101951787">
    <w:abstractNumId w:val="4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A11"/>
    <w:rsid w:val="00001A9A"/>
    <w:rsid w:val="00001FF7"/>
    <w:rsid w:val="00002A76"/>
    <w:rsid w:val="0000340F"/>
    <w:rsid w:val="00004B37"/>
    <w:rsid w:val="00004C87"/>
    <w:rsid w:val="00004D15"/>
    <w:rsid w:val="0000556E"/>
    <w:rsid w:val="00005C4E"/>
    <w:rsid w:val="0000612A"/>
    <w:rsid w:val="000067C3"/>
    <w:rsid w:val="000106AD"/>
    <w:rsid w:val="0001156A"/>
    <w:rsid w:val="00011F8E"/>
    <w:rsid w:val="0001280E"/>
    <w:rsid w:val="00014E99"/>
    <w:rsid w:val="00017610"/>
    <w:rsid w:val="00020AB0"/>
    <w:rsid w:val="0002321B"/>
    <w:rsid w:val="00023410"/>
    <w:rsid w:val="000236B5"/>
    <w:rsid w:val="0002379A"/>
    <w:rsid w:val="00024A7C"/>
    <w:rsid w:val="000252BC"/>
    <w:rsid w:val="000253B8"/>
    <w:rsid w:val="00027CE8"/>
    <w:rsid w:val="00027EA5"/>
    <w:rsid w:val="00030CFB"/>
    <w:rsid w:val="00031663"/>
    <w:rsid w:val="00032CF8"/>
    <w:rsid w:val="0003342B"/>
    <w:rsid w:val="0003371C"/>
    <w:rsid w:val="00033959"/>
    <w:rsid w:val="0003516A"/>
    <w:rsid w:val="00036B9F"/>
    <w:rsid w:val="00036BC3"/>
    <w:rsid w:val="0003758B"/>
    <w:rsid w:val="00037A77"/>
    <w:rsid w:val="000438CD"/>
    <w:rsid w:val="00044559"/>
    <w:rsid w:val="00045CA5"/>
    <w:rsid w:val="00045D50"/>
    <w:rsid w:val="0004696F"/>
    <w:rsid w:val="00046D50"/>
    <w:rsid w:val="00046D85"/>
    <w:rsid w:val="00046E3A"/>
    <w:rsid w:val="000474F1"/>
    <w:rsid w:val="00050840"/>
    <w:rsid w:val="00050BFB"/>
    <w:rsid w:val="000510B8"/>
    <w:rsid w:val="0005174C"/>
    <w:rsid w:val="0005358C"/>
    <w:rsid w:val="00053658"/>
    <w:rsid w:val="00055140"/>
    <w:rsid w:val="00055EC0"/>
    <w:rsid w:val="0006121F"/>
    <w:rsid w:val="000619F7"/>
    <w:rsid w:val="00062B0A"/>
    <w:rsid w:val="0006393F"/>
    <w:rsid w:val="00064BEF"/>
    <w:rsid w:val="000650BE"/>
    <w:rsid w:val="00066FA0"/>
    <w:rsid w:val="00067C15"/>
    <w:rsid w:val="0007017F"/>
    <w:rsid w:val="000737F6"/>
    <w:rsid w:val="000748B1"/>
    <w:rsid w:val="00075127"/>
    <w:rsid w:val="00081388"/>
    <w:rsid w:val="00081D4D"/>
    <w:rsid w:val="00083E0D"/>
    <w:rsid w:val="000850E5"/>
    <w:rsid w:val="0008547D"/>
    <w:rsid w:val="000873F7"/>
    <w:rsid w:val="0009041E"/>
    <w:rsid w:val="00093690"/>
    <w:rsid w:val="00093833"/>
    <w:rsid w:val="0009385A"/>
    <w:rsid w:val="00093F5B"/>
    <w:rsid w:val="00094299"/>
    <w:rsid w:val="0009462B"/>
    <w:rsid w:val="00094C09"/>
    <w:rsid w:val="00096067"/>
    <w:rsid w:val="000966C2"/>
    <w:rsid w:val="0009794B"/>
    <w:rsid w:val="000A0BEC"/>
    <w:rsid w:val="000A12ED"/>
    <w:rsid w:val="000A1788"/>
    <w:rsid w:val="000A3891"/>
    <w:rsid w:val="000A3B11"/>
    <w:rsid w:val="000A4D62"/>
    <w:rsid w:val="000A540C"/>
    <w:rsid w:val="000B02CF"/>
    <w:rsid w:val="000B1062"/>
    <w:rsid w:val="000B132B"/>
    <w:rsid w:val="000B25AB"/>
    <w:rsid w:val="000B5772"/>
    <w:rsid w:val="000B7B6F"/>
    <w:rsid w:val="000C082D"/>
    <w:rsid w:val="000C1BD0"/>
    <w:rsid w:val="000C4844"/>
    <w:rsid w:val="000C5FA4"/>
    <w:rsid w:val="000C6175"/>
    <w:rsid w:val="000C72FC"/>
    <w:rsid w:val="000C7EED"/>
    <w:rsid w:val="000D1DBA"/>
    <w:rsid w:val="000D5111"/>
    <w:rsid w:val="000D54BD"/>
    <w:rsid w:val="000D5877"/>
    <w:rsid w:val="000D6136"/>
    <w:rsid w:val="000D65BA"/>
    <w:rsid w:val="000D6C72"/>
    <w:rsid w:val="000D780B"/>
    <w:rsid w:val="000E3752"/>
    <w:rsid w:val="000E39C2"/>
    <w:rsid w:val="000E40E8"/>
    <w:rsid w:val="000E47EB"/>
    <w:rsid w:val="000E60BC"/>
    <w:rsid w:val="000E6892"/>
    <w:rsid w:val="000F0207"/>
    <w:rsid w:val="000F3407"/>
    <w:rsid w:val="000F5D35"/>
    <w:rsid w:val="000F7F99"/>
    <w:rsid w:val="00101E1A"/>
    <w:rsid w:val="001020CD"/>
    <w:rsid w:val="00102C98"/>
    <w:rsid w:val="001036EE"/>
    <w:rsid w:val="001039CF"/>
    <w:rsid w:val="00104CDA"/>
    <w:rsid w:val="00106F95"/>
    <w:rsid w:val="00110731"/>
    <w:rsid w:val="0011128E"/>
    <w:rsid w:val="00111B87"/>
    <w:rsid w:val="00111C81"/>
    <w:rsid w:val="00111DF1"/>
    <w:rsid w:val="00111EE2"/>
    <w:rsid w:val="001159F5"/>
    <w:rsid w:val="00115AAC"/>
    <w:rsid w:val="00117199"/>
    <w:rsid w:val="00121973"/>
    <w:rsid w:val="00121BB1"/>
    <w:rsid w:val="001221BB"/>
    <w:rsid w:val="001227FB"/>
    <w:rsid w:val="0012286E"/>
    <w:rsid w:val="00123C3E"/>
    <w:rsid w:val="00123F71"/>
    <w:rsid w:val="00124A88"/>
    <w:rsid w:val="001271D4"/>
    <w:rsid w:val="001300EB"/>
    <w:rsid w:val="0013232E"/>
    <w:rsid w:val="00133BAB"/>
    <w:rsid w:val="00133FD8"/>
    <w:rsid w:val="001341FF"/>
    <w:rsid w:val="0013671D"/>
    <w:rsid w:val="00136F78"/>
    <w:rsid w:val="00137577"/>
    <w:rsid w:val="00137661"/>
    <w:rsid w:val="00137B8F"/>
    <w:rsid w:val="00140EBA"/>
    <w:rsid w:val="00144146"/>
    <w:rsid w:val="00144D82"/>
    <w:rsid w:val="001460B9"/>
    <w:rsid w:val="001470A5"/>
    <w:rsid w:val="00150A50"/>
    <w:rsid w:val="00150DED"/>
    <w:rsid w:val="00153F99"/>
    <w:rsid w:val="00154146"/>
    <w:rsid w:val="00154300"/>
    <w:rsid w:val="00154BAB"/>
    <w:rsid w:val="00155087"/>
    <w:rsid w:val="0015628B"/>
    <w:rsid w:val="00156CD5"/>
    <w:rsid w:val="00156F5A"/>
    <w:rsid w:val="001570E7"/>
    <w:rsid w:val="0015786C"/>
    <w:rsid w:val="00157F92"/>
    <w:rsid w:val="0016130E"/>
    <w:rsid w:val="001625F8"/>
    <w:rsid w:val="00162C82"/>
    <w:rsid w:val="00164227"/>
    <w:rsid w:val="0016474E"/>
    <w:rsid w:val="00164EA1"/>
    <w:rsid w:val="00166DA4"/>
    <w:rsid w:val="001677F3"/>
    <w:rsid w:val="001709DB"/>
    <w:rsid w:val="00171E25"/>
    <w:rsid w:val="00172A10"/>
    <w:rsid w:val="00172F60"/>
    <w:rsid w:val="00173603"/>
    <w:rsid w:val="0017367F"/>
    <w:rsid w:val="0017368E"/>
    <w:rsid w:val="00174F65"/>
    <w:rsid w:val="00174F90"/>
    <w:rsid w:val="00175348"/>
    <w:rsid w:val="00175E0F"/>
    <w:rsid w:val="00176798"/>
    <w:rsid w:val="00176E10"/>
    <w:rsid w:val="00180924"/>
    <w:rsid w:val="00180C94"/>
    <w:rsid w:val="00180F8F"/>
    <w:rsid w:val="001823A7"/>
    <w:rsid w:val="00182503"/>
    <w:rsid w:val="00182991"/>
    <w:rsid w:val="00185923"/>
    <w:rsid w:val="001874D3"/>
    <w:rsid w:val="00187DB7"/>
    <w:rsid w:val="001911DA"/>
    <w:rsid w:val="001926F6"/>
    <w:rsid w:val="00192B6C"/>
    <w:rsid w:val="00192C39"/>
    <w:rsid w:val="00193257"/>
    <w:rsid w:val="00193C1E"/>
    <w:rsid w:val="00194E85"/>
    <w:rsid w:val="00195FA0"/>
    <w:rsid w:val="001A0773"/>
    <w:rsid w:val="001A2209"/>
    <w:rsid w:val="001A330F"/>
    <w:rsid w:val="001A4A39"/>
    <w:rsid w:val="001A4FDE"/>
    <w:rsid w:val="001A67C3"/>
    <w:rsid w:val="001A67C7"/>
    <w:rsid w:val="001B261F"/>
    <w:rsid w:val="001B32B9"/>
    <w:rsid w:val="001B3781"/>
    <w:rsid w:val="001B4A20"/>
    <w:rsid w:val="001B663A"/>
    <w:rsid w:val="001B7D3C"/>
    <w:rsid w:val="001C0ABD"/>
    <w:rsid w:val="001C0E3A"/>
    <w:rsid w:val="001C207A"/>
    <w:rsid w:val="001C2713"/>
    <w:rsid w:val="001C2914"/>
    <w:rsid w:val="001C2CAF"/>
    <w:rsid w:val="001C31F2"/>
    <w:rsid w:val="001C45B6"/>
    <w:rsid w:val="001C48DE"/>
    <w:rsid w:val="001C49BB"/>
    <w:rsid w:val="001C5AD2"/>
    <w:rsid w:val="001C5CDE"/>
    <w:rsid w:val="001C690D"/>
    <w:rsid w:val="001C6E04"/>
    <w:rsid w:val="001C7124"/>
    <w:rsid w:val="001C7172"/>
    <w:rsid w:val="001D0551"/>
    <w:rsid w:val="001D2A14"/>
    <w:rsid w:val="001D2F9C"/>
    <w:rsid w:val="001D51FA"/>
    <w:rsid w:val="001D539B"/>
    <w:rsid w:val="001D55D4"/>
    <w:rsid w:val="001D6312"/>
    <w:rsid w:val="001D744E"/>
    <w:rsid w:val="001E1854"/>
    <w:rsid w:val="001E2627"/>
    <w:rsid w:val="001E2EC4"/>
    <w:rsid w:val="001E31C8"/>
    <w:rsid w:val="001E3B42"/>
    <w:rsid w:val="001E3FDE"/>
    <w:rsid w:val="001E5809"/>
    <w:rsid w:val="001E5E4C"/>
    <w:rsid w:val="001E7D8C"/>
    <w:rsid w:val="001F10DC"/>
    <w:rsid w:val="001F3122"/>
    <w:rsid w:val="001F4B23"/>
    <w:rsid w:val="001F5104"/>
    <w:rsid w:val="001F52F2"/>
    <w:rsid w:val="001F5E81"/>
    <w:rsid w:val="001F7CC6"/>
    <w:rsid w:val="0020010D"/>
    <w:rsid w:val="00200C24"/>
    <w:rsid w:val="00201E88"/>
    <w:rsid w:val="00201FB0"/>
    <w:rsid w:val="002035A9"/>
    <w:rsid w:val="00203B89"/>
    <w:rsid w:val="002047F1"/>
    <w:rsid w:val="00204D0E"/>
    <w:rsid w:val="0020510C"/>
    <w:rsid w:val="00205F49"/>
    <w:rsid w:val="00207AB0"/>
    <w:rsid w:val="0021143E"/>
    <w:rsid w:val="00211530"/>
    <w:rsid w:val="00211A11"/>
    <w:rsid w:val="00212128"/>
    <w:rsid w:val="0021378D"/>
    <w:rsid w:val="002137B3"/>
    <w:rsid w:val="00213BA1"/>
    <w:rsid w:val="00213FAB"/>
    <w:rsid w:val="002145FD"/>
    <w:rsid w:val="00214A31"/>
    <w:rsid w:val="00214F65"/>
    <w:rsid w:val="002160F1"/>
    <w:rsid w:val="002206CB"/>
    <w:rsid w:val="002226BF"/>
    <w:rsid w:val="00224464"/>
    <w:rsid w:val="0022452B"/>
    <w:rsid w:val="00224A77"/>
    <w:rsid w:val="00224D1F"/>
    <w:rsid w:val="00224D7E"/>
    <w:rsid w:val="0022585B"/>
    <w:rsid w:val="002258B0"/>
    <w:rsid w:val="00226367"/>
    <w:rsid w:val="00230159"/>
    <w:rsid w:val="002312B4"/>
    <w:rsid w:val="00231F75"/>
    <w:rsid w:val="00231F8A"/>
    <w:rsid w:val="0023267D"/>
    <w:rsid w:val="002351C7"/>
    <w:rsid w:val="00235820"/>
    <w:rsid w:val="00236AD3"/>
    <w:rsid w:val="0024009C"/>
    <w:rsid w:val="0024128E"/>
    <w:rsid w:val="00241761"/>
    <w:rsid w:val="00242202"/>
    <w:rsid w:val="0024263E"/>
    <w:rsid w:val="00243EBF"/>
    <w:rsid w:val="002468E1"/>
    <w:rsid w:val="00246A2D"/>
    <w:rsid w:val="002515B6"/>
    <w:rsid w:val="00253AB3"/>
    <w:rsid w:val="00255E3E"/>
    <w:rsid w:val="002568A8"/>
    <w:rsid w:val="002605F1"/>
    <w:rsid w:val="00261189"/>
    <w:rsid w:val="00261343"/>
    <w:rsid w:val="0026219E"/>
    <w:rsid w:val="00262EDC"/>
    <w:rsid w:val="002648C8"/>
    <w:rsid w:val="00264AA3"/>
    <w:rsid w:val="0026519B"/>
    <w:rsid w:val="002657C9"/>
    <w:rsid w:val="00266A39"/>
    <w:rsid w:val="00267035"/>
    <w:rsid w:val="002675EB"/>
    <w:rsid w:val="00267867"/>
    <w:rsid w:val="00271086"/>
    <w:rsid w:val="00272B54"/>
    <w:rsid w:val="00272D84"/>
    <w:rsid w:val="002734AD"/>
    <w:rsid w:val="00273D53"/>
    <w:rsid w:val="0027533F"/>
    <w:rsid w:val="002760EE"/>
    <w:rsid w:val="002763C6"/>
    <w:rsid w:val="00276A3B"/>
    <w:rsid w:val="00277323"/>
    <w:rsid w:val="002802D5"/>
    <w:rsid w:val="00280462"/>
    <w:rsid w:val="00280C79"/>
    <w:rsid w:val="00281A11"/>
    <w:rsid w:val="00282AD0"/>
    <w:rsid w:val="00282D1F"/>
    <w:rsid w:val="00283A80"/>
    <w:rsid w:val="00285C4D"/>
    <w:rsid w:val="002860CA"/>
    <w:rsid w:val="00287D56"/>
    <w:rsid w:val="0029011C"/>
    <w:rsid w:val="00290922"/>
    <w:rsid w:val="002916E9"/>
    <w:rsid w:val="00291BEF"/>
    <w:rsid w:val="0029238E"/>
    <w:rsid w:val="00292E20"/>
    <w:rsid w:val="002933E2"/>
    <w:rsid w:val="002958D5"/>
    <w:rsid w:val="002958E4"/>
    <w:rsid w:val="00296477"/>
    <w:rsid w:val="00296AAF"/>
    <w:rsid w:val="002A0E5B"/>
    <w:rsid w:val="002A1D3F"/>
    <w:rsid w:val="002A5897"/>
    <w:rsid w:val="002A5B4E"/>
    <w:rsid w:val="002A6E91"/>
    <w:rsid w:val="002B04B2"/>
    <w:rsid w:val="002B1B9A"/>
    <w:rsid w:val="002B22A1"/>
    <w:rsid w:val="002B2A43"/>
    <w:rsid w:val="002B2B8A"/>
    <w:rsid w:val="002B36C7"/>
    <w:rsid w:val="002B52E0"/>
    <w:rsid w:val="002B6751"/>
    <w:rsid w:val="002B6F4C"/>
    <w:rsid w:val="002C02CE"/>
    <w:rsid w:val="002C0FBF"/>
    <w:rsid w:val="002C1608"/>
    <w:rsid w:val="002C48BB"/>
    <w:rsid w:val="002C5229"/>
    <w:rsid w:val="002C602F"/>
    <w:rsid w:val="002C61A5"/>
    <w:rsid w:val="002C6730"/>
    <w:rsid w:val="002D069A"/>
    <w:rsid w:val="002D154C"/>
    <w:rsid w:val="002D2BC8"/>
    <w:rsid w:val="002D2F7E"/>
    <w:rsid w:val="002D2FF9"/>
    <w:rsid w:val="002D531B"/>
    <w:rsid w:val="002D5497"/>
    <w:rsid w:val="002D5C62"/>
    <w:rsid w:val="002D667F"/>
    <w:rsid w:val="002D6F5D"/>
    <w:rsid w:val="002E01F8"/>
    <w:rsid w:val="002E0607"/>
    <w:rsid w:val="002E085D"/>
    <w:rsid w:val="002E0AB9"/>
    <w:rsid w:val="002E18E5"/>
    <w:rsid w:val="002E1CF1"/>
    <w:rsid w:val="002E1F20"/>
    <w:rsid w:val="002E1F91"/>
    <w:rsid w:val="002E2A9E"/>
    <w:rsid w:val="002E3DD3"/>
    <w:rsid w:val="002E4A75"/>
    <w:rsid w:val="002E6A60"/>
    <w:rsid w:val="002E7FD2"/>
    <w:rsid w:val="002F0E26"/>
    <w:rsid w:val="002F1CD9"/>
    <w:rsid w:val="002F2B26"/>
    <w:rsid w:val="002F4211"/>
    <w:rsid w:val="002F65B2"/>
    <w:rsid w:val="002F7104"/>
    <w:rsid w:val="002F73F6"/>
    <w:rsid w:val="002F750D"/>
    <w:rsid w:val="00300386"/>
    <w:rsid w:val="00300B7F"/>
    <w:rsid w:val="00302DD8"/>
    <w:rsid w:val="00303C9D"/>
    <w:rsid w:val="003072EA"/>
    <w:rsid w:val="00307AFA"/>
    <w:rsid w:val="00314DB0"/>
    <w:rsid w:val="003162B8"/>
    <w:rsid w:val="003177FE"/>
    <w:rsid w:val="003206E7"/>
    <w:rsid w:val="00320930"/>
    <w:rsid w:val="00321997"/>
    <w:rsid w:val="00321A6B"/>
    <w:rsid w:val="0032244A"/>
    <w:rsid w:val="003226D3"/>
    <w:rsid w:val="00322761"/>
    <w:rsid w:val="00322CBB"/>
    <w:rsid w:val="00323BCF"/>
    <w:rsid w:val="00324B8C"/>
    <w:rsid w:val="003251FD"/>
    <w:rsid w:val="003274C9"/>
    <w:rsid w:val="003276BC"/>
    <w:rsid w:val="00327760"/>
    <w:rsid w:val="00330A7F"/>
    <w:rsid w:val="00331B3B"/>
    <w:rsid w:val="00332BBF"/>
    <w:rsid w:val="0033408B"/>
    <w:rsid w:val="00334757"/>
    <w:rsid w:val="00334CB2"/>
    <w:rsid w:val="00334EEA"/>
    <w:rsid w:val="003368C6"/>
    <w:rsid w:val="00337CBC"/>
    <w:rsid w:val="00337D99"/>
    <w:rsid w:val="003411BB"/>
    <w:rsid w:val="00341251"/>
    <w:rsid w:val="00342778"/>
    <w:rsid w:val="00342E59"/>
    <w:rsid w:val="00344252"/>
    <w:rsid w:val="00344F95"/>
    <w:rsid w:val="003470CF"/>
    <w:rsid w:val="00350041"/>
    <w:rsid w:val="00351DE4"/>
    <w:rsid w:val="0035261D"/>
    <w:rsid w:val="00352E49"/>
    <w:rsid w:val="003556C8"/>
    <w:rsid w:val="00357284"/>
    <w:rsid w:val="0035785B"/>
    <w:rsid w:val="0036062D"/>
    <w:rsid w:val="00360F0B"/>
    <w:rsid w:val="003611B4"/>
    <w:rsid w:val="00361F8B"/>
    <w:rsid w:val="003620FC"/>
    <w:rsid w:val="00362BA1"/>
    <w:rsid w:val="0036448D"/>
    <w:rsid w:val="003651B4"/>
    <w:rsid w:val="0036598F"/>
    <w:rsid w:val="003661E8"/>
    <w:rsid w:val="0036688C"/>
    <w:rsid w:val="00366986"/>
    <w:rsid w:val="003669DA"/>
    <w:rsid w:val="003702D9"/>
    <w:rsid w:val="003714D2"/>
    <w:rsid w:val="0037201E"/>
    <w:rsid w:val="0037274C"/>
    <w:rsid w:val="00373629"/>
    <w:rsid w:val="00373AE6"/>
    <w:rsid w:val="00373E5D"/>
    <w:rsid w:val="003745F1"/>
    <w:rsid w:val="0037654F"/>
    <w:rsid w:val="003803B3"/>
    <w:rsid w:val="00380523"/>
    <w:rsid w:val="0038058B"/>
    <w:rsid w:val="00381C6A"/>
    <w:rsid w:val="0038395A"/>
    <w:rsid w:val="003847EF"/>
    <w:rsid w:val="00384FCA"/>
    <w:rsid w:val="00386EE0"/>
    <w:rsid w:val="00390EC5"/>
    <w:rsid w:val="00391F15"/>
    <w:rsid w:val="00392D08"/>
    <w:rsid w:val="00393D66"/>
    <w:rsid w:val="00393FD3"/>
    <w:rsid w:val="00394B4B"/>
    <w:rsid w:val="00394CF4"/>
    <w:rsid w:val="00394EA1"/>
    <w:rsid w:val="0039695F"/>
    <w:rsid w:val="00396F2F"/>
    <w:rsid w:val="003A0AF5"/>
    <w:rsid w:val="003A1E50"/>
    <w:rsid w:val="003A29AE"/>
    <w:rsid w:val="003A72E2"/>
    <w:rsid w:val="003B13DA"/>
    <w:rsid w:val="003B3146"/>
    <w:rsid w:val="003B377B"/>
    <w:rsid w:val="003B4F12"/>
    <w:rsid w:val="003B6003"/>
    <w:rsid w:val="003B66CA"/>
    <w:rsid w:val="003C0186"/>
    <w:rsid w:val="003C2E1E"/>
    <w:rsid w:val="003C2E62"/>
    <w:rsid w:val="003C3702"/>
    <w:rsid w:val="003C46ED"/>
    <w:rsid w:val="003C4E05"/>
    <w:rsid w:val="003C670E"/>
    <w:rsid w:val="003C7CC6"/>
    <w:rsid w:val="003D028B"/>
    <w:rsid w:val="003D0D65"/>
    <w:rsid w:val="003D1D3D"/>
    <w:rsid w:val="003D209F"/>
    <w:rsid w:val="003D3245"/>
    <w:rsid w:val="003D4438"/>
    <w:rsid w:val="003D44EE"/>
    <w:rsid w:val="003D4EC1"/>
    <w:rsid w:val="003D5601"/>
    <w:rsid w:val="003D5F40"/>
    <w:rsid w:val="003D6314"/>
    <w:rsid w:val="003E3878"/>
    <w:rsid w:val="003E3A21"/>
    <w:rsid w:val="003E3C3C"/>
    <w:rsid w:val="003E6896"/>
    <w:rsid w:val="003E6A0A"/>
    <w:rsid w:val="003E6E19"/>
    <w:rsid w:val="003E76C9"/>
    <w:rsid w:val="003E7E72"/>
    <w:rsid w:val="003F1C4C"/>
    <w:rsid w:val="003F1CD4"/>
    <w:rsid w:val="003F2B7C"/>
    <w:rsid w:val="003F3A43"/>
    <w:rsid w:val="003F6298"/>
    <w:rsid w:val="003F72D2"/>
    <w:rsid w:val="003F77EA"/>
    <w:rsid w:val="003F7C5C"/>
    <w:rsid w:val="0040047C"/>
    <w:rsid w:val="00401357"/>
    <w:rsid w:val="004013AB"/>
    <w:rsid w:val="00402E9A"/>
    <w:rsid w:val="00404998"/>
    <w:rsid w:val="00405EA8"/>
    <w:rsid w:val="004068B0"/>
    <w:rsid w:val="00406B37"/>
    <w:rsid w:val="00407A6F"/>
    <w:rsid w:val="00410027"/>
    <w:rsid w:val="0041061A"/>
    <w:rsid w:val="00411E66"/>
    <w:rsid w:val="00412244"/>
    <w:rsid w:val="00412B94"/>
    <w:rsid w:val="00413B42"/>
    <w:rsid w:val="00413BF9"/>
    <w:rsid w:val="00414D1B"/>
    <w:rsid w:val="00416148"/>
    <w:rsid w:val="004162B4"/>
    <w:rsid w:val="0041651B"/>
    <w:rsid w:val="00417E8A"/>
    <w:rsid w:val="00420863"/>
    <w:rsid w:val="00421321"/>
    <w:rsid w:val="004217B2"/>
    <w:rsid w:val="00421B45"/>
    <w:rsid w:val="00424DA6"/>
    <w:rsid w:val="004254BF"/>
    <w:rsid w:val="00425C9B"/>
    <w:rsid w:val="004301C5"/>
    <w:rsid w:val="004327D1"/>
    <w:rsid w:val="004352AE"/>
    <w:rsid w:val="00435E85"/>
    <w:rsid w:val="00441240"/>
    <w:rsid w:val="004418DE"/>
    <w:rsid w:val="00443059"/>
    <w:rsid w:val="00443C6B"/>
    <w:rsid w:val="0044459E"/>
    <w:rsid w:val="0044484C"/>
    <w:rsid w:val="00444B82"/>
    <w:rsid w:val="00444D56"/>
    <w:rsid w:val="00445E1F"/>
    <w:rsid w:val="004469C2"/>
    <w:rsid w:val="00446A06"/>
    <w:rsid w:val="00450150"/>
    <w:rsid w:val="00450EB5"/>
    <w:rsid w:val="00451118"/>
    <w:rsid w:val="00451173"/>
    <w:rsid w:val="00451646"/>
    <w:rsid w:val="00452262"/>
    <w:rsid w:val="0045235F"/>
    <w:rsid w:val="004527C0"/>
    <w:rsid w:val="004529D8"/>
    <w:rsid w:val="00455E9C"/>
    <w:rsid w:val="004561F3"/>
    <w:rsid w:val="0045622B"/>
    <w:rsid w:val="00460C86"/>
    <w:rsid w:val="0046139F"/>
    <w:rsid w:val="004616D8"/>
    <w:rsid w:val="0046194B"/>
    <w:rsid w:val="0046292F"/>
    <w:rsid w:val="00462E6C"/>
    <w:rsid w:val="00464446"/>
    <w:rsid w:val="004676E7"/>
    <w:rsid w:val="00470296"/>
    <w:rsid w:val="00470800"/>
    <w:rsid w:val="00470895"/>
    <w:rsid w:val="0047142D"/>
    <w:rsid w:val="004714B7"/>
    <w:rsid w:val="00471BBC"/>
    <w:rsid w:val="00471C09"/>
    <w:rsid w:val="00471EB2"/>
    <w:rsid w:val="00472981"/>
    <w:rsid w:val="00474A18"/>
    <w:rsid w:val="00474DAB"/>
    <w:rsid w:val="00476CBD"/>
    <w:rsid w:val="004776E9"/>
    <w:rsid w:val="00481C68"/>
    <w:rsid w:val="004828BF"/>
    <w:rsid w:val="004841B3"/>
    <w:rsid w:val="00485924"/>
    <w:rsid w:val="00485ADE"/>
    <w:rsid w:val="00485F8A"/>
    <w:rsid w:val="00486D13"/>
    <w:rsid w:val="00486D79"/>
    <w:rsid w:val="00487209"/>
    <w:rsid w:val="00487C7A"/>
    <w:rsid w:val="0049081C"/>
    <w:rsid w:val="0049145C"/>
    <w:rsid w:val="00491AF9"/>
    <w:rsid w:val="00492054"/>
    <w:rsid w:val="00492EA9"/>
    <w:rsid w:val="0049552C"/>
    <w:rsid w:val="00496890"/>
    <w:rsid w:val="00497BCB"/>
    <w:rsid w:val="00497FEF"/>
    <w:rsid w:val="004A0575"/>
    <w:rsid w:val="004A0C3C"/>
    <w:rsid w:val="004A1C38"/>
    <w:rsid w:val="004A2C15"/>
    <w:rsid w:val="004A2F67"/>
    <w:rsid w:val="004A3C07"/>
    <w:rsid w:val="004A3F35"/>
    <w:rsid w:val="004A412B"/>
    <w:rsid w:val="004A41B5"/>
    <w:rsid w:val="004A4EEC"/>
    <w:rsid w:val="004A5D01"/>
    <w:rsid w:val="004A696D"/>
    <w:rsid w:val="004A6FE6"/>
    <w:rsid w:val="004A7391"/>
    <w:rsid w:val="004A78B0"/>
    <w:rsid w:val="004B15F7"/>
    <w:rsid w:val="004B1C7F"/>
    <w:rsid w:val="004B26D9"/>
    <w:rsid w:val="004B283C"/>
    <w:rsid w:val="004B40BD"/>
    <w:rsid w:val="004B51C2"/>
    <w:rsid w:val="004B6507"/>
    <w:rsid w:val="004B7F13"/>
    <w:rsid w:val="004C0403"/>
    <w:rsid w:val="004C0503"/>
    <w:rsid w:val="004C1750"/>
    <w:rsid w:val="004C3C58"/>
    <w:rsid w:val="004C3DFF"/>
    <w:rsid w:val="004C5A66"/>
    <w:rsid w:val="004C5FBA"/>
    <w:rsid w:val="004C5FFB"/>
    <w:rsid w:val="004C66D5"/>
    <w:rsid w:val="004C6AF4"/>
    <w:rsid w:val="004D0A9A"/>
    <w:rsid w:val="004D0B5D"/>
    <w:rsid w:val="004D2422"/>
    <w:rsid w:val="004D2B22"/>
    <w:rsid w:val="004D4428"/>
    <w:rsid w:val="004D4D7D"/>
    <w:rsid w:val="004D4F64"/>
    <w:rsid w:val="004D53DD"/>
    <w:rsid w:val="004D55D3"/>
    <w:rsid w:val="004D5D3B"/>
    <w:rsid w:val="004D7953"/>
    <w:rsid w:val="004D79CE"/>
    <w:rsid w:val="004D7A06"/>
    <w:rsid w:val="004E09E0"/>
    <w:rsid w:val="004E322A"/>
    <w:rsid w:val="004E41E6"/>
    <w:rsid w:val="004E67FE"/>
    <w:rsid w:val="004E77CC"/>
    <w:rsid w:val="004F01DD"/>
    <w:rsid w:val="004F0F27"/>
    <w:rsid w:val="004F4ADE"/>
    <w:rsid w:val="004F5A89"/>
    <w:rsid w:val="004F6C38"/>
    <w:rsid w:val="004F742E"/>
    <w:rsid w:val="004F752B"/>
    <w:rsid w:val="004F7E23"/>
    <w:rsid w:val="005000B6"/>
    <w:rsid w:val="00500481"/>
    <w:rsid w:val="005004B5"/>
    <w:rsid w:val="0050281C"/>
    <w:rsid w:val="005039F7"/>
    <w:rsid w:val="0050531C"/>
    <w:rsid w:val="00505E3A"/>
    <w:rsid w:val="00506F7A"/>
    <w:rsid w:val="00512709"/>
    <w:rsid w:val="00512DAC"/>
    <w:rsid w:val="005130B0"/>
    <w:rsid w:val="00513280"/>
    <w:rsid w:val="00513D7A"/>
    <w:rsid w:val="00516B9F"/>
    <w:rsid w:val="00516DAB"/>
    <w:rsid w:val="00517F44"/>
    <w:rsid w:val="00520E38"/>
    <w:rsid w:val="00521374"/>
    <w:rsid w:val="005215F2"/>
    <w:rsid w:val="00521872"/>
    <w:rsid w:val="00521A20"/>
    <w:rsid w:val="00521BE5"/>
    <w:rsid w:val="005237C8"/>
    <w:rsid w:val="00523D01"/>
    <w:rsid w:val="00523F3F"/>
    <w:rsid w:val="00524F79"/>
    <w:rsid w:val="00527C7E"/>
    <w:rsid w:val="00532080"/>
    <w:rsid w:val="00532BEA"/>
    <w:rsid w:val="00532D56"/>
    <w:rsid w:val="005331C4"/>
    <w:rsid w:val="005331D5"/>
    <w:rsid w:val="00535F1E"/>
    <w:rsid w:val="005366DA"/>
    <w:rsid w:val="0053715D"/>
    <w:rsid w:val="005372E8"/>
    <w:rsid w:val="005373DF"/>
    <w:rsid w:val="00537FCA"/>
    <w:rsid w:val="0054321A"/>
    <w:rsid w:val="00543C18"/>
    <w:rsid w:val="00543D9C"/>
    <w:rsid w:val="00544188"/>
    <w:rsid w:val="00545896"/>
    <w:rsid w:val="00546118"/>
    <w:rsid w:val="00550761"/>
    <w:rsid w:val="00551BED"/>
    <w:rsid w:val="00551DA1"/>
    <w:rsid w:val="005520EC"/>
    <w:rsid w:val="00553FC8"/>
    <w:rsid w:val="005540FB"/>
    <w:rsid w:val="00555458"/>
    <w:rsid w:val="0055549F"/>
    <w:rsid w:val="00555D72"/>
    <w:rsid w:val="005567A3"/>
    <w:rsid w:val="0055683B"/>
    <w:rsid w:val="00557C4E"/>
    <w:rsid w:val="00557DC2"/>
    <w:rsid w:val="00562DA7"/>
    <w:rsid w:val="00564E99"/>
    <w:rsid w:val="00570F47"/>
    <w:rsid w:val="0057541D"/>
    <w:rsid w:val="0057546F"/>
    <w:rsid w:val="005766A3"/>
    <w:rsid w:val="0058130F"/>
    <w:rsid w:val="0058181C"/>
    <w:rsid w:val="00581EA3"/>
    <w:rsid w:val="00581FFA"/>
    <w:rsid w:val="005820B6"/>
    <w:rsid w:val="005822A6"/>
    <w:rsid w:val="00582EDD"/>
    <w:rsid w:val="0058372A"/>
    <w:rsid w:val="00583B0B"/>
    <w:rsid w:val="00584398"/>
    <w:rsid w:val="00584B54"/>
    <w:rsid w:val="0058622D"/>
    <w:rsid w:val="00586DBE"/>
    <w:rsid w:val="00587FE8"/>
    <w:rsid w:val="005900A0"/>
    <w:rsid w:val="00590B5E"/>
    <w:rsid w:val="00590F50"/>
    <w:rsid w:val="005911AA"/>
    <w:rsid w:val="00591CD2"/>
    <w:rsid w:val="005927AA"/>
    <w:rsid w:val="0059291B"/>
    <w:rsid w:val="00593C02"/>
    <w:rsid w:val="005948A2"/>
    <w:rsid w:val="00594F63"/>
    <w:rsid w:val="005961E0"/>
    <w:rsid w:val="00596636"/>
    <w:rsid w:val="005A04A1"/>
    <w:rsid w:val="005A0F6E"/>
    <w:rsid w:val="005A305E"/>
    <w:rsid w:val="005A388D"/>
    <w:rsid w:val="005A4670"/>
    <w:rsid w:val="005A4884"/>
    <w:rsid w:val="005A678A"/>
    <w:rsid w:val="005A6C95"/>
    <w:rsid w:val="005B04D5"/>
    <w:rsid w:val="005B34A2"/>
    <w:rsid w:val="005B3702"/>
    <w:rsid w:val="005B3812"/>
    <w:rsid w:val="005B3A54"/>
    <w:rsid w:val="005B3B7F"/>
    <w:rsid w:val="005B458E"/>
    <w:rsid w:val="005B4B57"/>
    <w:rsid w:val="005C0BAE"/>
    <w:rsid w:val="005C1422"/>
    <w:rsid w:val="005C169B"/>
    <w:rsid w:val="005C1C86"/>
    <w:rsid w:val="005C29E7"/>
    <w:rsid w:val="005C3BD0"/>
    <w:rsid w:val="005C542D"/>
    <w:rsid w:val="005C5DAF"/>
    <w:rsid w:val="005C771D"/>
    <w:rsid w:val="005C77C1"/>
    <w:rsid w:val="005D25DE"/>
    <w:rsid w:val="005E0529"/>
    <w:rsid w:val="005E1D62"/>
    <w:rsid w:val="005E42F5"/>
    <w:rsid w:val="005E4431"/>
    <w:rsid w:val="005E5ED6"/>
    <w:rsid w:val="005E6739"/>
    <w:rsid w:val="005F1247"/>
    <w:rsid w:val="005F197C"/>
    <w:rsid w:val="005F26C6"/>
    <w:rsid w:val="005F4A11"/>
    <w:rsid w:val="005F4C31"/>
    <w:rsid w:val="005F79C3"/>
    <w:rsid w:val="005F7B7F"/>
    <w:rsid w:val="00600DC7"/>
    <w:rsid w:val="006010AC"/>
    <w:rsid w:val="0060213D"/>
    <w:rsid w:val="00602C93"/>
    <w:rsid w:val="006036DC"/>
    <w:rsid w:val="00603EDF"/>
    <w:rsid w:val="00604B3C"/>
    <w:rsid w:val="00604D3E"/>
    <w:rsid w:val="006071B1"/>
    <w:rsid w:val="00607705"/>
    <w:rsid w:val="00610239"/>
    <w:rsid w:val="006108AF"/>
    <w:rsid w:val="0061338D"/>
    <w:rsid w:val="006145F3"/>
    <w:rsid w:val="00615D96"/>
    <w:rsid w:val="006166AB"/>
    <w:rsid w:val="006178DD"/>
    <w:rsid w:val="00623A53"/>
    <w:rsid w:val="00623A77"/>
    <w:rsid w:val="006246BF"/>
    <w:rsid w:val="00624901"/>
    <w:rsid w:val="00624F37"/>
    <w:rsid w:val="00625194"/>
    <w:rsid w:val="006256E4"/>
    <w:rsid w:val="00627327"/>
    <w:rsid w:val="0062790D"/>
    <w:rsid w:val="00627E48"/>
    <w:rsid w:val="00630C5E"/>
    <w:rsid w:val="00630D43"/>
    <w:rsid w:val="00632197"/>
    <w:rsid w:val="00632685"/>
    <w:rsid w:val="0063269B"/>
    <w:rsid w:val="00634512"/>
    <w:rsid w:val="00634FC4"/>
    <w:rsid w:val="00635017"/>
    <w:rsid w:val="0063586F"/>
    <w:rsid w:val="006415B9"/>
    <w:rsid w:val="00643721"/>
    <w:rsid w:val="006448CE"/>
    <w:rsid w:val="0064495F"/>
    <w:rsid w:val="00645843"/>
    <w:rsid w:val="00645A50"/>
    <w:rsid w:val="00646B78"/>
    <w:rsid w:val="00646F1D"/>
    <w:rsid w:val="006477B8"/>
    <w:rsid w:val="0065283F"/>
    <w:rsid w:val="006537A5"/>
    <w:rsid w:val="00654AAC"/>
    <w:rsid w:val="00655B0F"/>
    <w:rsid w:val="006563C1"/>
    <w:rsid w:val="00660714"/>
    <w:rsid w:val="00660C39"/>
    <w:rsid w:val="00661D55"/>
    <w:rsid w:val="00662259"/>
    <w:rsid w:val="00663DCC"/>
    <w:rsid w:val="0066405C"/>
    <w:rsid w:val="00665749"/>
    <w:rsid w:val="006663D4"/>
    <w:rsid w:val="006672AC"/>
    <w:rsid w:val="0067361B"/>
    <w:rsid w:val="0067458B"/>
    <w:rsid w:val="006805EC"/>
    <w:rsid w:val="00681EA9"/>
    <w:rsid w:val="006833F5"/>
    <w:rsid w:val="00683A2A"/>
    <w:rsid w:val="00685488"/>
    <w:rsid w:val="00685C18"/>
    <w:rsid w:val="00685CBB"/>
    <w:rsid w:val="00685F07"/>
    <w:rsid w:val="0068605B"/>
    <w:rsid w:val="00686BE4"/>
    <w:rsid w:val="00690169"/>
    <w:rsid w:val="00690241"/>
    <w:rsid w:val="00690992"/>
    <w:rsid w:val="00690EA9"/>
    <w:rsid w:val="00693A7F"/>
    <w:rsid w:val="006956D2"/>
    <w:rsid w:val="006962AA"/>
    <w:rsid w:val="00697970"/>
    <w:rsid w:val="006A046E"/>
    <w:rsid w:val="006A0B4D"/>
    <w:rsid w:val="006A0F8E"/>
    <w:rsid w:val="006A31A1"/>
    <w:rsid w:val="006A3EAB"/>
    <w:rsid w:val="006A4ED7"/>
    <w:rsid w:val="006A553F"/>
    <w:rsid w:val="006A5E9A"/>
    <w:rsid w:val="006A706C"/>
    <w:rsid w:val="006A785C"/>
    <w:rsid w:val="006B0E1C"/>
    <w:rsid w:val="006B2463"/>
    <w:rsid w:val="006B2561"/>
    <w:rsid w:val="006B2C87"/>
    <w:rsid w:val="006B30E8"/>
    <w:rsid w:val="006B379A"/>
    <w:rsid w:val="006B5282"/>
    <w:rsid w:val="006B539D"/>
    <w:rsid w:val="006B5BD2"/>
    <w:rsid w:val="006B5DB4"/>
    <w:rsid w:val="006B6782"/>
    <w:rsid w:val="006C04E8"/>
    <w:rsid w:val="006C0CB3"/>
    <w:rsid w:val="006C141E"/>
    <w:rsid w:val="006C1CE9"/>
    <w:rsid w:val="006C25FE"/>
    <w:rsid w:val="006C2A40"/>
    <w:rsid w:val="006C2E65"/>
    <w:rsid w:val="006C3A69"/>
    <w:rsid w:val="006C47CA"/>
    <w:rsid w:val="006C5C56"/>
    <w:rsid w:val="006C5E0C"/>
    <w:rsid w:val="006C6395"/>
    <w:rsid w:val="006C662B"/>
    <w:rsid w:val="006C73D3"/>
    <w:rsid w:val="006D18B7"/>
    <w:rsid w:val="006D1B2B"/>
    <w:rsid w:val="006D24AE"/>
    <w:rsid w:val="006D27CE"/>
    <w:rsid w:val="006D2DB4"/>
    <w:rsid w:val="006D4CCA"/>
    <w:rsid w:val="006D5CC1"/>
    <w:rsid w:val="006D688B"/>
    <w:rsid w:val="006D7952"/>
    <w:rsid w:val="006E4956"/>
    <w:rsid w:val="006E4F72"/>
    <w:rsid w:val="006E79A1"/>
    <w:rsid w:val="006F0133"/>
    <w:rsid w:val="006F0DB0"/>
    <w:rsid w:val="006F247F"/>
    <w:rsid w:val="006F33A4"/>
    <w:rsid w:val="006F3518"/>
    <w:rsid w:val="006F3A78"/>
    <w:rsid w:val="006F5E50"/>
    <w:rsid w:val="007021ED"/>
    <w:rsid w:val="007023C8"/>
    <w:rsid w:val="007024AE"/>
    <w:rsid w:val="00702B9A"/>
    <w:rsid w:val="00703FEF"/>
    <w:rsid w:val="00706E9A"/>
    <w:rsid w:val="00707421"/>
    <w:rsid w:val="007076F8"/>
    <w:rsid w:val="00710342"/>
    <w:rsid w:val="007116B5"/>
    <w:rsid w:val="00711A80"/>
    <w:rsid w:val="007125B8"/>
    <w:rsid w:val="00712E89"/>
    <w:rsid w:val="007132D3"/>
    <w:rsid w:val="00713C75"/>
    <w:rsid w:val="007141D5"/>
    <w:rsid w:val="0071488E"/>
    <w:rsid w:val="00715955"/>
    <w:rsid w:val="00716C12"/>
    <w:rsid w:val="007200F5"/>
    <w:rsid w:val="00720F12"/>
    <w:rsid w:val="0072231D"/>
    <w:rsid w:val="00723A1D"/>
    <w:rsid w:val="00725324"/>
    <w:rsid w:val="00727C66"/>
    <w:rsid w:val="00730363"/>
    <w:rsid w:val="007317C8"/>
    <w:rsid w:val="00735085"/>
    <w:rsid w:val="0073546D"/>
    <w:rsid w:val="0074008C"/>
    <w:rsid w:val="00741809"/>
    <w:rsid w:val="00743D1D"/>
    <w:rsid w:val="00744BDD"/>
    <w:rsid w:val="00744C2A"/>
    <w:rsid w:val="00744FE9"/>
    <w:rsid w:val="0074650C"/>
    <w:rsid w:val="00747AE0"/>
    <w:rsid w:val="007546E8"/>
    <w:rsid w:val="007553AF"/>
    <w:rsid w:val="007555B3"/>
    <w:rsid w:val="00755B33"/>
    <w:rsid w:val="00755B4D"/>
    <w:rsid w:val="00755F30"/>
    <w:rsid w:val="0075704A"/>
    <w:rsid w:val="00760B3D"/>
    <w:rsid w:val="00760E95"/>
    <w:rsid w:val="007610CC"/>
    <w:rsid w:val="00761581"/>
    <w:rsid w:val="007616C5"/>
    <w:rsid w:val="00762225"/>
    <w:rsid w:val="00762931"/>
    <w:rsid w:val="0076295E"/>
    <w:rsid w:val="00762B64"/>
    <w:rsid w:val="00762EF7"/>
    <w:rsid w:val="007634D6"/>
    <w:rsid w:val="00763DD4"/>
    <w:rsid w:val="00763FA5"/>
    <w:rsid w:val="00764209"/>
    <w:rsid w:val="0076495D"/>
    <w:rsid w:val="00764CD7"/>
    <w:rsid w:val="00766126"/>
    <w:rsid w:val="00766CFB"/>
    <w:rsid w:val="00766F8E"/>
    <w:rsid w:val="007677F7"/>
    <w:rsid w:val="00767B4B"/>
    <w:rsid w:val="00767CC9"/>
    <w:rsid w:val="00767E65"/>
    <w:rsid w:val="007704A6"/>
    <w:rsid w:val="00770D26"/>
    <w:rsid w:val="007719C9"/>
    <w:rsid w:val="00772063"/>
    <w:rsid w:val="00772139"/>
    <w:rsid w:val="00772B9A"/>
    <w:rsid w:val="00773FF1"/>
    <w:rsid w:val="0077517E"/>
    <w:rsid w:val="00776B6C"/>
    <w:rsid w:val="00776C1D"/>
    <w:rsid w:val="007773D5"/>
    <w:rsid w:val="00777B56"/>
    <w:rsid w:val="00780438"/>
    <w:rsid w:val="007804AE"/>
    <w:rsid w:val="00781035"/>
    <w:rsid w:val="00781224"/>
    <w:rsid w:val="00781CFB"/>
    <w:rsid w:val="007822C2"/>
    <w:rsid w:val="00784BBA"/>
    <w:rsid w:val="00784E8D"/>
    <w:rsid w:val="00785631"/>
    <w:rsid w:val="00786418"/>
    <w:rsid w:val="007867FE"/>
    <w:rsid w:val="00786FBF"/>
    <w:rsid w:val="00790148"/>
    <w:rsid w:val="00790F0D"/>
    <w:rsid w:val="00792C41"/>
    <w:rsid w:val="00794382"/>
    <w:rsid w:val="007944CB"/>
    <w:rsid w:val="00795216"/>
    <w:rsid w:val="007968F6"/>
    <w:rsid w:val="007972B9"/>
    <w:rsid w:val="007977ED"/>
    <w:rsid w:val="007A00F2"/>
    <w:rsid w:val="007A0ABD"/>
    <w:rsid w:val="007A0ABE"/>
    <w:rsid w:val="007A1DCF"/>
    <w:rsid w:val="007A20BD"/>
    <w:rsid w:val="007A2474"/>
    <w:rsid w:val="007A2AB5"/>
    <w:rsid w:val="007A2F06"/>
    <w:rsid w:val="007A37E9"/>
    <w:rsid w:val="007A3E33"/>
    <w:rsid w:val="007A51FF"/>
    <w:rsid w:val="007B038D"/>
    <w:rsid w:val="007B0D52"/>
    <w:rsid w:val="007B1E09"/>
    <w:rsid w:val="007B2BD3"/>
    <w:rsid w:val="007B3B52"/>
    <w:rsid w:val="007B3CFD"/>
    <w:rsid w:val="007B5B5C"/>
    <w:rsid w:val="007B6CD3"/>
    <w:rsid w:val="007C0325"/>
    <w:rsid w:val="007C29F8"/>
    <w:rsid w:val="007C4F29"/>
    <w:rsid w:val="007C5425"/>
    <w:rsid w:val="007C6490"/>
    <w:rsid w:val="007C6647"/>
    <w:rsid w:val="007D02D3"/>
    <w:rsid w:val="007D1588"/>
    <w:rsid w:val="007D2AC4"/>
    <w:rsid w:val="007D6336"/>
    <w:rsid w:val="007D758A"/>
    <w:rsid w:val="007E0507"/>
    <w:rsid w:val="007E3C42"/>
    <w:rsid w:val="007E4052"/>
    <w:rsid w:val="007E48D9"/>
    <w:rsid w:val="007E4FAC"/>
    <w:rsid w:val="007E545E"/>
    <w:rsid w:val="007E7C2A"/>
    <w:rsid w:val="007F0C20"/>
    <w:rsid w:val="007F10CB"/>
    <w:rsid w:val="007F2F0E"/>
    <w:rsid w:val="007F360C"/>
    <w:rsid w:val="007F37B5"/>
    <w:rsid w:val="007F38ED"/>
    <w:rsid w:val="007F3C94"/>
    <w:rsid w:val="007F733B"/>
    <w:rsid w:val="007F7DBA"/>
    <w:rsid w:val="00802783"/>
    <w:rsid w:val="00803445"/>
    <w:rsid w:val="00804148"/>
    <w:rsid w:val="00804677"/>
    <w:rsid w:val="00806DEC"/>
    <w:rsid w:val="00806EE1"/>
    <w:rsid w:val="008073FB"/>
    <w:rsid w:val="00807D7F"/>
    <w:rsid w:val="00810305"/>
    <w:rsid w:val="00810AB1"/>
    <w:rsid w:val="00811DBB"/>
    <w:rsid w:val="0081310D"/>
    <w:rsid w:val="00813B58"/>
    <w:rsid w:val="00813C06"/>
    <w:rsid w:val="008152B1"/>
    <w:rsid w:val="00815B86"/>
    <w:rsid w:val="00816DE5"/>
    <w:rsid w:val="00817BDE"/>
    <w:rsid w:val="00820EF4"/>
    <w:rsid w:val="00820FEF"/>
    <w:rsid w:val="0082159C"/>
    <w:rsid w:val="008217FA"/>
    <w:rsid w:val="00823C0B"/>
    <w:rsid w:val="00823D0E"/>
    <w:rsid w:val="00824F10"/>
    <w:rsid w:val="00824F81"/>
    <w:rsid w:val="00826E08"/>
    <w:rsid w:val="00830553"/>
    <w:rsid w:val="00830F3F"/>
    <w:rsid w:val="00831D37"/>
    <w:rsid w:val="00832A67"/>
    <w:rsid w:val="008342C9"/>
    <w:rsid w:val="00836287"/>
    <w:rsid w:val="0083633C"/>
    <w:rsid w:val="00836A05"/>
    <w:rsid w:val="00840AFF"/>
    <w:rsid w:val="00841E0F"/>
    <w:rsid w:val="0084541B"/>
    <w:rsid w:val="00846D08"/>
    <w:rsid w:val="0084727C"/>
    <w:rsid w:val="008475CD"/>
    <w:rsid w:val="008500F9"/>
    <w:rsid w:val="00851750"/>
    <w:rsid w:val="0085261D"/>
    <w:rsid w:val="00852B14"/>
    <w:rsid w:val="00855120"/>
    <w:rsid w:val="0085669A"/>
    <w:rsid w:val="00857DD6"/>
    <w:rsid w:val="008630DC"/>
    <w:rsid w:val="00863111"/>
    <w:rsid w:val="00866E63"/>
    <w:rsid w:val="008674AD"/>
    <w:rsid w:val="00867791"/>
    <w:rsid w:val="008713E0"/>
    <w:rsid w:val="008724E5"/>
    <w:rsid w:val="00872FD5"/>
    <w:rsid w:val="00873BE6"/>
    <w:rsid w:val="0087412A"/>
    <w:rsid w:val="0087426C"/>
    <w:rsid w:val="00874C90"/>
    <w:rsid w:val="008752A6"/>
    <w:rsid w:val="00876485"/>
    <w:rsid w:val="00876A9A"/>
    <w:rsid w:val="008803A0"/>
    <w:rsid w:val="00880A47"/>
    <w:rsid w:val="00882F91"/>
    <w:rsid w:val="0088388D"/>
    <w:rsid w:val="008859FF"/>
    <w:rsid w:val="0089064B"/>
    <w:rsid w:val="00890C24"/>
    <w:rsid w:val="0089115F"/>
    <w:rsid w:val="00892447"/>
    <w:rsid w:val="008924AB"/>
    <w:rsid w:val="008947AA"/>
    <w:rsid w:val="00894D9D"/>
    <w:rsid w:val="0089704F"/>
    <w:rsid w:val="00897C48"/>
    <w:rsid w:val="008A006A"/>
    <w:rsid w:val="008A72C6"/>
    <w:rsid w:val="008A7B40"/>
    <w:rsid w:val="008B04B4"/>
    <w:rsid w:val="008B05E6"/>
    <w:rsid w:val="008B567E"/>
    <w:rsid w:val="008B759A"/>
    <w:rsid w:val="008B7F73"/>
    <w:rsid w:val="008B7FA3"/>
    <w:rsid w:val="008C07A6"/>
    <w:rsid w:val="008C0EF8"/>
    <w:rsid w:val="008C134F"/>
    <w:rsid w:val="008C2707"/>
    <w:rsid w:val="008C3C72"/>
    <w:rsid w:val="008C3C88"/>
    <w:rsid w:val="008C4801"/>
    <w:rsid w:val="008C57FF"/>
    <w:rsid w:val="008C5A05"/>
    <w:rsid w:val="008C69D1"/>
    <w:rsid w:val="008C70B5"/>
    <w:rsid w:val="008D1048"/>
    <w:rsid w:val="008D15FF"/>
    <w:rsid w:val="008D2070"/>
    <w:rsid w:val="008D2A14"/>
    <w:rsid w:val="008D3AC9"/>
    <w:rsid w:val="008D4160"/>
    <w:rsid w:val="008D44B5"/>
    <w:rsid w:val="008D50F6"/>
    <w:rsid w:val="008D5391"/>
    <w:rsid w:val="008D5C0F"/>
    <w:rsid w:val="008D5DAA"/>
    <w:rsid w:val="008D6B98"/>
    <w:rsid w:val="008E0832"/>
    <w:rsid w:val="008E1634"/>
    <w:rsid w:val="008E1DD9"/>
    <w:rsid w:val="008E34F0"/>
    <w:rsid w:val="008E5135"/>
    <w:rsid w:val="008E5AE5"/>
    <w:rsid w:val="008E61BB"/>
    <w:rsid w:val="008E6E68"/>
    <w:rsid w:val="008F0069"/>
    <w:rsid w:val="008F09B5"/>
    <w:rsid w:val="008F149B"/>
    <w:rsid w:val="008F14BF"/>
    <w:rsid w:val="008F1813"/>
    <w:rsid w:val="008F1A83"/>
    <w:rsid w:val="008F1AC8"/>
    <w:rsid w:val="008F3E9A"/>
    <w:rsid w:val="008F5204"/>
    <w:rsid w:val="008F7291"/>
    <w:rsid w:val="00900792"/>
    <w:rsid w:val="00902824"/>
    <w:rsid w:val="00902AC1"/>
    <w:rsid w:val="009036A0"/>
    <w:rsid w:val="009045BD"/>
    <w:rsid w:val="00904803"/>
    <w:rsid w:val="00904DC3"/>
    <w:rsid w:val="0090579A"/>
    <w:rsid w:val="0090602E"/>
    <w:rsid w:val="0090670E"/>
    <w:rsid w:val="00906D08"/>
    <w:rsid w:val="009116A4"/>
    <w:rsid w:val="00916CAE"/>
    <w:rsid w:val="00916EDF"/>
    <w:rsid w:val="00920BB5"/>
    <w:rsid w:val="00920C88"/>
    <w:rsid w:val="0092157E"/>
    <w:rsid w:val="009216B8"/>
    <w:rsid w:val="00921D74"/>
    <w:rsid w:val="00922C88"/>
    <w:rsid w:val="00922E4F"/>
    <w:rsid w:val="00923D88"/>
    <w:rsid w:val="00925698"/>
    <w:rsid w:val="0092583D"/>
    <w:rsid w:val="00926C2F"/>
    <w:rsid w:val="00927240"/>
    <w:rsid w:val="00927B46"/>
    <w:rsid w:val="00932185"/>
    <w:rsid w:val="00932D38"/>
    <w:rsid w:val="00934352"/>
    <w:rsid w:val="00935A46"/>
    <w:rsid w:val="00935A52"/>
    <w:rsid w:val="00935A80"/>
    <w:rsid w:val="009378E1"/>
    <w:rsid w:val="00937F7B"/>
    <w:rsid w:val="0094044E"/>
    <w:rsid w:val="00943E60"/>
    <w:rsid w:val="009440A8"/>
    <w:rsid w:val="009442D1"/>
    <w:rsid w:val="009443D3"/>
    <w:rsid w:val="00944C32"/>
    <w:rsid w:val="009452CA"/>
    <w:rsid w:val="009458CC"/>
    <w:rsid w:val="00946CA5"/>
    <w:rsid w:val="009476CF"/>
    <w:rsid w:val="009504BD"/>
    <w:rsid w:val="00954A86"/>
    <w:rsid w:val="00955C33"/>
    <w:rsid w:val="00955F41"/>
    <w:rsid w:val="00960B28"/>
    <w:rsid w:val="00960FC9"/>
    <w:rsid w:val="00962764"/>
    <w:rsid w:val="00962BB7"/>
    <w:rsid w:val="0096407F"/>
    <w:rsid w:val="0096799B"/>
    <w:rsid w:val="00967B2A"/>
    <w:rsid w:val="00967E0C"/>
    <w:rsid w:val="00971B83"/>
    <w:rsid w:val="00972448"/>
    <w:rsid w:val="009732E3"/>
    <w:rsid w:val="0097504F"/>
    <w:rsid w:val="009758C4"/>
    <w:rsid w:val="00977865"/>
    <w:rsid w:val="009807A2"/>
    <w:rsid w:val="00982217"/>
    <w:rsid w:val="009840E0"/>
    <w:rsid w:val="00986339"/>
    <w:rsid w:val="009875B3"/>
    <w:rsid w:val="009907E3"/>
    <w:rsid w:val="00993E10"/>
    <w:rsid w:val="00995E7E"/>
    <w:rsid w:val="00996435"/>
    <w:rsid w:val="009A08A1"/>
    <w:rsid w:val="009A0F3B"/>
    <w:rsid w:val="009A1112"/>
    <w:rsid w:val="009A12B9"/>
    <w:rsid w:val="009A2A2E"/>
    <w:rsid w:val="009A2BA4"/>
    <w:rsid w:val="009A3C7B"/>
    <w:rsid w:val="009A410E"/>
    <w:rsid w:val="009A421A"/>
    <w:rsid w:val="009A4814"/>
    <w:rsid w:val="009A4A0F"/>
    <w:rsid w:val="009A5885"/>
    <w:rsid w:val="009B32EF"/>
    <w:rsid w:val="009B3529"/>
    <w:rsid w:val="009B37D2"/>
    <w:rsid w:val="009B505B"/>
    <w:rsid w:val="009B581C"/>
    <w:rsid w:val="009B646F"/>
    <w:rsid w:val="009B7411"/>
    <w:rsid w:val="009C06BD"/>
    <w:rsid w:val="009C173D"/>
    <w:rsid w:val="009C23EF"/>
    <w:rsid w:val="009C28A3"/>
    <w:rsid w:val="009C30AD"/>
    <w:rsid w:val="009C3AEE"/>
    <w:rsid w:val="009C3BD2"/>
    <w:rsid w:val="009C44B2"/>
    <w:rsid w:val="009C4D87"/>
    <w:rsid w:val="009C579E"/>
    <w:rsid w:val="009C63F0"/>
    <w:rsid w:val="009C6841"/>
    <w:rsid w:val="009D0B0A"/>
    <w:rsid w:val="009D146F"/>
    <w:rsid w:val="009D17C1"/>
    <w:rsid w:val="009D1AFB"/>
    <w:rsid w:val="009D26B1"/>
    <w:rsid w:val="009D3117"/>
    <w:rsid w:val="009D4804"/>
    <w:rsid w:val="009E0533"/>
    <w:rsid w:val="009E0C08"/>
    <w:rsid w:val="009E1E56"/>
    <w:rsid w:val="009E2761"/>
    <w:rsid w:val="009E2CFD"/>
    <w:rsid w:val="009E41B0"/>
    <w:rsid w:val="009E46A7"/>
    <w:rsid w:val="009E4D7F"/>
    <w:rsid w:val="009E5254"/>
    <w:rsid w:val="009E78D1"/>
    <w:rsid w:val="009F01E3"/>
    <w:rsid w:val="009F1307"/>
    <w:rsid w:val="009F2399"/>
    <w:rsid w:val="009F24BD"/>
    <w:rsid w:val="009F2F62"/>
    <w:rsid w:val="009F3887"/>
    <w:rsid w:val="009F39C0"/>
    <w:rsid w:val="009F5B38"/>
    <w:rsid w:val="009F6789"/>
    <w:rsid w:val="009F682A"/>
    <w:rsid w:val="00A015AF"/>
    <w:rsid w:val="00A018E9"/>
    <w:rsid w:val="00A02BBB"/>
    <w:rsid w:val="00A02EA4"/>
    <w:rsid w:val="00A06367"/>
    <w:rsid w:val="00A06532"/>
    <w:rsid w:val="00A069E6"/>
    <w:rsid w:val="00A102EA"/>
    <w:rsid w:val="00A10D07"/>
    <w:rsid w:val="00A115C2"/>
    <w:rsid w:val="00A12437"/>
    <w:rsid w:val="00A12DCE"/>
    <w:rsid w:val="00A163F9"/>
    <w:rsid w:val="00A16D5D"/>
    <w:rsid w:val="00A172BD"/>
    <w:rsid w:val="00A20053"/>
    <w:rsid w:val="00A20113"/>
    <w:rsid w:val="00A20DE0"/>
    <w:rsid w:val="00A22836"/>
    <w:rsid w:val="00A22954"/>
    <w:rsid w:val="00A30256"/>
    <w:rsid w:val="00A3104B"/>
    <w:rsid w:val="00A312D3"/>
    <w:rsid w:val="00A316B1"/>
    <w:rsid w:val="00A32600"/>
    <w:rsid w:val="00A32831"/>
    <w:rsid w:val="00A33B74"/>
    <w:rsid w:val="00A34517"/>
    <w:rsid w:val="00A35107"/>
    <w:rsid w:val="00A35532"/>
    <w:rsid w:val="00A35732"/>
    <w:rsid w:val="00A36B5F"/>
    <w:rsid w:val="00A37918"/>
    <w:rsid w:val="00A37DDB"/>
    <w:rsid w:val="00A40661"/>
    <w:rsid w:val="00A40663"/>
    <w:rsid w:val="00A409D9"/>
    <w:rsid w:val="00A426F4"/>
    <w:rsid w:val="00A42D86"/>
    <w:rsid w:val="00A43533"/>
    <w:rsid w:val="00A436EF"/>
    <w:rsid w:val="00A448CC"/>
    <w:rsid w:val="00A44A5E"/>
    <w:rsid w:val="00A4527C"/>
    <w:rsid w:val="00A4553A"/>
    <w:rsid w:val="00A45678"/>
    <w:rsid w:val="00A45D57"/>
    <w:rsid w:val="00A467AC"/>
    <w:rsid w:val="00A50415"/>
    <w:rsid w:val="00A50449"/>
    <w:rsid w:val="00A51E6D"/>
    <w:rsid w:val="00A5307D"/>
    <w:rsid w:val="00A53650"/>
    <w:rsid w:val="00A54877"/>
    <w:rsid w:val="00A560A4"/>
    <w:rsid w:val="00A566BD"/>
    <w:rsid w:val="00A56C5F"/>
    <w:rsid w:val="00A57E48"/>
    <w:rsid w:val="00A60695"/>
    <w:rsid w:val="00A61596"/>
    <w:rsid w:val="00A62616"/>
    <w:rsid w:val="00A6314D"/>
    <w:rsid w:val="00A64EB8"/>
    <w:rsid w:val="00A660FD"/>
    <w:rsid w:val="00A66236"/>
    <w:rsid w:val="00A71AB1"/>
    <w:rsid w:val="00A72265"/>
    <w:rsid w:val="00A730B3"/>
    <w:rsid w:val="00A73255"/>
    <w:rsid w:val="00A73C98"/>
    <w:rsid w:val="00A74828"/>
    <w:rsid w:val="00A75BDD"/>
    <w:rsid w:val="00A764B3"/>
    <w:rsid w:val="00A7652D"/>
    <w:rsid w:val="00A765B5"/>
    <w:rsid w:val="00A774F7"/>
    <w:rsid w:val="00A775F7"/>
    <w:rsid w:val="00A804C7"/>
    <w:rsid w:val="00A80832"/>
    <w:rsid w:val="00A816F4"/>
    <w:rsid w:val="00A81BDC"/>
    <w:rsid w:val="00A83A83"/>
    <w:rsid w:val="00A86C97"/>
    <w:rsid w:val="00A86DC5"/>
    <w:rsid w:val="00A904B3"/>
    <w:rsid w:val="00A92036"/>
    <w:rsid w:val="00A96F7A"/>
    <w:rsid w:val="00A974FF"/>
    <w:rsid w:val="00A97952"/>
    <w:rsid w:val="00A97975"/>
    <w:rsid w:val="00AA1776"/>
    <w:rsid w:val="00AA1C69"/>
    <w:rsid w:val="00AA1DBC"/>
    <w:rsid w:val="00AA2340"/>
    <w:rsid w:val="00AA2347"/>
    <w:rsid w:val="00AA29A7"/>
    <w:rsid w:val="00AA4411"/>
    <w:rsid w:val="00AA5CE2"/>
    <w:rsid w:val="00AA60CE"/>
    <w:rsid w:val="00AB03BA"/>
    <w:rsid w:val="00AB0431"/>
    <w:rsid w:val="00AB0582"/>
    <w:rsid w:val="00AB06FC"/>
    <w:rsid w:val="00AB223A"/>
    <w:rsid w:val="00AB22D5"/>
    <w:rsid w:val="00AB276F"/>
    <w:rsid w:val="00AB2B84"/>
    <w:rsid w:val="00AB7CD8"/>
    <w:rsid w:val="00AC0151"/>
    <w:rsid w:val="00AC0426"/>
    <w:rsid w:val="00AC2628"/>
    <w:rsid w:val="00AC3B51"/>
    <w:rsid w:val="00AC41C0"/>
    <w:rsid w:val="00AC4A6E"/>
    <w:rsid w:val="00AC51CD"/>
    <w:rsid w:val="00AC59F8"/>
    <w:rsid w:val="00AC5F53"/>
    <w:rsid w:val="00AD0157"/>
    <w:rsid w:val="00AD0290"/>
    <w:rsid w:val="00AD033A"/>
    <w:rsid w:val="00AD05A3"/>
    <w:rsid w:val="00AD1542"/>
    <w:rsid w:val="00AD1C95"/>
    <w:rsid w:val="00AD1EE5"/>
    <w:rsid w:val="00AD2261"/>
    <w:rsid w:val="00AD5655"/>
    <w:rsid w:val="00AD5BA5"/>
    <w:rsid w:val="00AD77C6"/>
    <w:rsid w:val="00AE091C"/>
    <w:rsid w:val="00AE1A44"/>
    <w:rsid w:val="00AE3193"/>
    <w:rsid w:val="00AE622D"/>
    <w:rsid w:val="00AE6367"/>
    <w:rsid w:val="00AE7212"/>
    <w:rsid w:val="00AE739B"/>
    <w:rsid w:val="00AE7ED3"/>
    <w:rsid w:val="00AF0A21"/>
    <w:rsid w:val="00AF289C"/>
    <w:rsid w:val="00AF3760"/>
    <w:rsid w:val="00AF3993"/>
    <w:rsid w:val="00AF45BB"/>
    <w:rsid w:val="00AF4704"/>
    <w:rsid w:val="00AF508B"/>
    <w:rsid w:val="00AF61AD"/>
    <w:rsid w:val="00AF6861"/>
    <w:rsid w:val="00AF752F"/>
    <w:rsid w:val="00B009D1"/>
    <w:rsid w:val="00B013FA"/>
    <w:rsid w:val="00B014EE"/>
    <w:rsid w:val="00B01D37"/>
    <w:rsid w:val="00B03508"/>
    <w:rsid w:val="00B057F7"/>
    <w:rsid w:val="00B0636F"/>
    <w:rsid w:val="00B06A8A"/>
    <w:rsid w:val="00B06D61"/>
    <w:rsid w:val="00B078AD"/>
    <w:rsid w:val="00B12ECD"/>
    <w:rsid w:val="00B13797"/>
    <w:rsid w:val="00B13F30"/>
    <w:rsid w:val="00B140A5"/>
    <w:rsid w:val="00B15258"/>
    <w:rsid w:val="00B166B9"/>
    <w:rsid w:val="00B173B1"/>
    <w:rsid w:val="00B173EF"/>
    <w:rsid w:val="00B17E0D"/>
    <w:rsid w:val="00B2038E"/>
    <w:rsid w:val="00B207F3"/>
    <w:rsid w:val="00B21E7D"/>
    <w:rsid w:val="00B22547"/>
    <w:rsid w:val="00B24F98"/>
    <w:rsid w:val="00B2771F"/>
    <w:rsid w:val="00B30C87"/>
    <w:rsid w:val="00B31330"/>
    <w:rsid w:val="00B32155"/>
    <w:rsid w:val="00B3232D"/>
    <w:rsid w:val="00B3521F"/>
    <w:rsid w:val="00B35A0F"/>
    <w:rsid w:val="00B36EB3"/>
    <w:rsid w:val="00B3751F"/>
    <w:rsid w:val="00B378E8"/>
    <w:rsid w:val="00B37A20"/>
    <w:rsid w:val="00B40135"/>
    <w:rsid w:val="00B41E2B"/>
    <w:rsid w:val="00B4281E"/>
    <w:rsid w:val="00B436DE"/>
    <w:rsid w:val="00B43866"/>
    <w:rsid w:val="00B43FE5"/>
    <w:rsid w:val="00B44F4A"/>
    <w:rsid w:val="00B4537C"/>
    <w:rsid w:val="00B45D9F"/>
    <w:rsid w:val="00B47546"/>
    <w:rsid w:val="00B47E05"/>
    <w:rsid w:val="00B52B35"/>
    <w:rsid w:val="00B52C51"/>
    <w:rsid w:val="00B52E7D"/>
    <w:rsid w:val="00B53B10"/>
    <w:rsid w:val="00B53D3E"/>
    <w:rsid w:val="00B53FE5"/>
    <w:rsid w:val="00B56C9F"/>
    <w:rsid w:val="00B61085"/>
    <w:rsid w:val="00B61342"/>
    <w:rsid w:val="00B6202A"/>
    <w:rsid w:val="00B6327D"/>
    <w:rsid w:val="00B65409"/>
    <w:rsid w:val="00B67656"/>
    <w:rsid w:val="00B6772B"/>
    <w:rsid w:val="00B7024B"/>
    <w:rsid w:val="00B71421"/>
    <w:rsid w:val="00B718FF"/>
    <w:rsid w:val="00B71C57"/>
    <w:rsid w:val="00B72543"/>
    <w:rsid w:val="00B72547"/>
    <w:rsid w:val="00B72F53"/>
    <w:rsid w:val="00B73C53"/>
    <w:rsid w:val="00B748A7"/>
    <w:rsid w:val="00B77CB9"/>
    <w:rsid w:val="00B80F17"/>
    <w:rsid w:val="00B81866"/>
    <w:rsid w:val="00B81BEC"/>
    <w:rsid w:val="00B81E91"/>
    <w:rsid w:val="00B82696"/>
    <w:rsid w:val="00B82869"/>
    <w:rsid w:val="00B82DFF"/>
    <w:rsid w:val="00B84922"/>
    <w:rsid w:val="00B849EC"/>
    <w:rsid w:val="00B850BF"/>
    <w:rsid w:val="00B85720"/>
    <w:rsid w:val="00B87BB1"/>
    <w:rsid w:val="00B9144E"/>
    <w:rsid w:val="00B933BA"/>
    <w:rsid w:val="00B955DC"/>
    <w:rsid w:val="00BA0550"/>
    <w:rsid w:val="00BA0C2A"/>
    <w:rsid w:val="00BA141C"/>
    <w:rsid w:val="00BA1F44"/>
    <w:rsid w:val="00BA27E1"/>
    <w:rsid w:val="00BA2BBE"/>
    <w:rsid w:val="00BA2D85"/>
    <w:rsid w:val="00BA389A"/>
    <w:rsid w:val="00BA5BF9"/>
    <w:rsid w:val="00BA67DC"/>
    <w:rsid w:val="00BA6C90"/>
    <w:rsid w:val="00BA7E5E"/>
    <w:rsid w:val="00BB0EBE"/>
    <w:rsid w:val="00BB147D"/>
    <w:rsid w:val="00BB1480"/>
    <w:rsid w:val="00BB16FB"/>
    <w:rsid w:val="00BB1C4E"/>
    <w:rsid w:val="00BB2E6B"/>
    <w:rsid w:val="00BB2F83"/>
    <w:rsid w:val="00BB3340"/>
    <w:rsid w:val="00BB4AB3"/>
    <w:rsid w:val="00BB5F7B"/>
    <w:rsid w:val="00BB628F"/>
    <w:rsid w:val="00BB6A18"/>
    <w:rsid w:val="00BB6D48"/>
    <w:rsid w:val="00BB725E"/>
    <w:rsid w:val="00BC0399"/>
    <w:rsid w:val="00BC2DBF"/>
    <w:rsid w:val="00BC3154"/>
    <w:rsid w:val="00BC42A9"/>
    <w:rsid w:val="00BC4A9D"/>
    <w:rsid w:val="00BC53B0"/>
    <w:rsid w:val="00BC54E0"/>
    <w:rsid w:val="00BC5559"/>
    <w:rsid w:val="00BC5FB7"/>
    <w:rsid w:val="00BC603E"/>
    <w:rsid w:val="00BC6D9E"/>
    <w:rsid w:val="00BC6E79"/>
    <w:rsid w:val="00BC7974"/>
    <w:rsid w:val="00BD067C"/>
    <w:rsid w:val="00BD0B9E"/>
    <w:rsid w:val="00BD227E"/>
    <w:rsid w:val="00BD3AB0"/>
    <w:rsid w:val="00BD3C6E"/>
    <w:rsid w:val="00BD3EB9"/>
    <w:rsid w:val="00BD6187"/>
    <w:rsid w:val="00BD70D2"/>
    <w:rsid w:val="00BD7B1D"/>
    <w:rsid w:val="00BE09BC"/>
    <w:rsid w:val="00BE0A7E"/>
    <w:rsid w:val="00BE0BBE"/>
    <w:rsid w:val="00BE1365"/>
    <w:rsid w:val="00BE1881"/>
    <w:rsid w:val="00BE25AB"/>
    <w:rsid w:val="00BE2F6E"/>
    <w:rsid w:val="00BE4575"/>
    <w:rsid w:val="00BE5CB6"/>
    <w:rsid w:val="00BE6B03"/>
    <w:rsid w:val="00BF149F"/>
    <w:rsid w:val="00BF192B"/>
    <w:rsid w:val="00BF196C"/>
    <w:rsid w:val="00BF29FF"/>
    <w:rsid w:val="00BF3349"/>
    <w:rsid w:val="00BF3665"/>
    <w:rsid w:val="00BF3D7E"/>
    <w:rsid w:val="00BF450F"/>
    <w:rsid w:val="00BF465C"/>
    <w:rsid w:val="00C00609"/>
    <w:rsid w:val="00C00718"/>
    <w:rsid w:val="00C00E45"/>
    <w:rsid w:val="00C01924"/>
    <w:rsid w:val="00C028F6"/>
    <w:rsid w:val="00C06404"/>
    <w:rsid w:val="00C0786E"/>
    <w:rsid w:val="00C07D86"/>
    <w:rsid w:val="00C10F46"/>
    <w:rsid w:val="00C11B96"/>
    <w:rsid w:val="00C13141"/>
    <w:rsid w:val="00C13281"/>
    <w:rsid w:val="00C13D5C"/>
    <w:rsid w:val="00C1414D"/>
    <w:rsid w:val="00C147F1"/>
    <w:rsid w:val="00C14EE2"/>
    <w:rsid w:val="00C16931"/>
    <w:rsid w:val="00C17368"/>
    <w:rsid w:val="00C176F4"/>
    <w:rsid w:val="00C2094B"/>
    <w:rsid w:val="00C22884"/>
    <w:rsid w:val="00C23BCC"/>
    <w:rsid w:val="00C2420F"/>
    <w:rsid w:val="00C27769"/>
    <w:rsid w:val="00C313FA"/>
    <w:rsid w:val="00C31C81"/>
    <w:rsid w:val="00C33300"/>
    <w:rsid w:val="00C35DE0"/>
    <w:rsid w:val="00C35F09"/>
    <w:rsid w:val="00C3649F"/>
    <w:rsid w:val="00C37680"/>
    <w:rsid w:val="00C378EB"/>
    <w:rsid w:val="00C40991"/>
    <w:rsid w:val="00C43A5F"/>
    <w:rsid w:val="00C44D3B"/>
    <w:rsid w:val="00C45667"/>
    <w:rsid w:val="00C468EE"/>
    <w:rsid w:val="00C534B2"/>
    <w:rsid w:val="00C53553"/>
    <w:rsid w:val="00C53B5D"/>
    <w:rsid w:val="00C544B2"/>
    <w:rsid w:val="00C55990"/>
    <w:rsid w:val="00C55ADB"/>
    <w:rsid w:val="00C607C7"/>
    <w:rsid w:val="00C61D49"/>
    <w:rsid w:val="00C630C5"/>
    <w:rsid w:val="00C65245"/>
    <w:rsid w:val="00C65BA1"/>
    <w:rsid w:val="00C6618F"/>
    <w:rsid w:val="00C66242"/>
    <w:rsid w:val="00C66701"/>
    <w:rsid w:val="00C67066"/>
    <w:rsid w:val="00C708E2"/>
    <w:rsid w:val="00C708FF"/>
    <w:rsid w:val="00C7096F"/>
    <w:rsid w:val="00C70CB8"/>
    <w:rsid w:val="00C72A0B"/>
    <w:rsid w:val="00C73A47"/>
    <w:rsid w:val="00C73D29"/>
    <w:rsid w:val="00C76892"/>
    <w:rsid w:val="00C81767"/>
    <w:rsid w:val="00C820D2"/>
    <w:rsid w:val="00C8241A"/>
    <w:rsid w:val="00C82606"/>
    <w:rsid w:val="00C84002"/>
    <w:rsid w:val="00C85C2A"/>
    <w:rsid w:val="00C87095"/>
    <w:rsid w:val="00C901E6"/>
    <w:rsid w:val="00C907E0"/>
    <w:rsid w:val="00C90B33"/>
    <w:rsid w:val="00C90C67"/>
    <w:rsid w:val="00C9302F"/>
    <w:rsid w:val="00C936BB"/>
    <w:rsid w:val="00C93702"/>
    <w:rsid w:val="00C9371F"/>
    <w:rsid w:val="00C94F2D"/>
    <w:rsid w:val="00C95523"/>
    <w:rsid w:val="00C95B30"/>
    <w:rsid w:val="00C97214"/>
    <w:rsid w:val="00CA1808"/>
    <w:rsid w:val="00CA18A7"/>
    <w:rsid w:val="00CA1927"/>
    <w:rsid w:val="00CA3C57"/>
    <w:rsid w:val="00CA40D2"/>
    <w:rsid w:val="00CA42BD"/>
    <w:rsid w:val="00CA49CC"/>
    <w:rsid w:val="00CA5D59"/>
    <w:rsid w:val="00CA74AE"/>
    <w:rsid w:val="00CA7CD2"/>
    <w:rsid w:val="00CB21B5"/>
    <w:rsid w:val="00CB2276"/>
    <w:rsid w:val="00CB3232"/>
    <w:rsid w:val="00CB3739"/>
    <w:rsid w:val="00CB4FA3"/>
    <w:rsid w:val="00CB6606"/>
    <w:rsid w:val="00CB7A84"/>
    <w:rsid w:val="00CC0419"/>
    <w:rsid w:val="00CC1D4A"/>
    <w:rsid w:val="00CC1DDB"/>
    <w:rsid w:val="00CC202C"/>
    <w:rsid w:val="00CC44CE"/>
    <w:rsid w:val="00CC55EA"/>
    <w:rsid w:val="00CC5AF0"/>
    <w:rsid w:val="00CC5F55"/>
    <w:rsid w:val="00CC6641"/>
    <w:rsid w:val="00CC6D6F"/>
    <w:rsid w:val="00CC6FF6"/>
    <w:rsid w:val="00CD0557"/>
    <w:rsid w:val="00CD0627"/>
    <w:rsid w:val="00CD22D5"/>
    <w:rsid w:val="00CD23A6"/>
    <w:rsid w:val="00CD3AA3"/>
    <w:rsid w:val="00CD411C"/>
    <w:rsid w:val="00CD497D"/>
    <w:rsid w:val="00CD5D97"/>
    <w:rsid w:val="00CD69FA"/>
    <w:rsid w:val="00CD6EF7"/>
    <w:rsid w:val="00CD6F39"/>
    <w:rsid w:val="00CD7246"/>
    <w:rsid w:val="00CE11EE"/>
    <w:rsid w:val="00CE12F9"/>
    <w:rsid w:val="00CE14A6"/>
    <w:rsid w:val="00CE1F18"/>
    <w:rsid w:val="00CE2236"/>
    <w:rsid w:val="00CE259B"/>
    <w:rsid w:val="00CE3887"/>
    <w:rsid w:val="00CE6752"/>
    <w:rsid w:val="00CE67BB"/>
    <w:rsid w:val="00CE6C90"/>
    <w:rsid w:val="00CE7B5E"/>
    <w:rsid w:val="00CF0ADB"/>
    <w:rsid w:val="00CF350A"/>
    <w:rsid w:val="00CF3BAC"/>
    <w:rsid w:val="00CF3FBB"/>
    <w:rsid w:val="00D012E4"/>
    <w:rsid w:val="00D01A14"/>
    <w:rsid w:val="00D01EF7"/>
    <w:rsid w:val="00D01F27"/>
    <w:rsid w:val="00D0400B"/>
    <w:rsid w:val="00D04335"/>
    <w:rsid w:val="00D063C7"/>
    <w:rsid w:val="00D07078"/>
    <w:rsid w:val="00D103C4"/>
    <w:rsid w:val="00D1061B"/>
    <w:rsid w:val="00D10D27"/>
    <w:rsid w:val="00D1158A"/>
    <w:rsid w:val="00D12389"/>
    <w:rsid w:val="00D12F72"/>
    <w:rsid w:val="00D13156"/>
    <w:rsid w:val="00D13F48"/>
    <w:rsid w:val="00D14884"/>
    <w:rsid w:val="00D17793"/>
    <w:rsid w:val="00D17DC7"/>
    <w:rsid w:val="00D206B2"/>
    <w:rsid w:val="00D25459"/>
    <w:rsid w:val="00D2658C"/>
    <w:rsid w:val="00D2676A"/>
    <w:rsid w:val="00D3144A"/>
    <w:rsid w:val="00D35F5C"/>
    <w:rsid w:val="00D3781F"/>
    <w:rsid w:val="00D40A86"/>
    <w:rsid w:val="00D411B4"/>
    <w:rsid w:val="00D4312B"/>
    <w:rsid w:val="00D43C48"/>
    <w:rsid w:val="00D4461A"/>
    <w:rsid w:val="00D44CF3"/>
    <w:rsid w:val="00D44E66"/>
    <w:rsid w:val="00D44FFD"/>
    <w:rsid w:val="00D458D0"/>
    <w:rsid w:val="00D45931"/>
    <w:rsid w:val="00D459A5"/>
    <w:rsid w:val="00D53056"/>
    <w:rsid w:val="00D5331C"/>
    <w:rsid w:val="00D54825"/>
    <w:rsid w:val="00D54F4D"/>
    <w:rsid w:val="00D55C9C"/>
    <w:rsid w:val="00D57AE4"/>
    <w:rsid w:val="00D6082C"/>
    <w:rsid w:val="00D60F2D"/>
    <w:rsid w:val="00D61FBD"/>
    <w:rsid w:val="00D62613"/>
    <w:rsid w:val="00D64271"/>
    <w:rsid w:val="00D65E45"/>
    <w:rsid w:val="00D719FA"/>
    <w:rsid w:val="00D71FF4"/>
    <w:rsid w:val="00D72F95"/>
    <w:rsid w:val="00D73A6B"/>
    <w:rsid w:val="00D74BDB"/>
    <w:rsid w:val="00D74CE2"/>
    <w:rsid w:val="00D74F25"/>
    <w:rsid w:val="00D75590"/>
    <w:rsid w:val="00D763CF"/>
    <w:rsid w:val="00D76774"/>
    <w:rsid w:val="00D76B41"/>
    <w:rsid w:val="00D76FD9"/>
    <w:rsid w:val="00D8014E"/>
    <w:rsid w:val="00D80380"/>
    <w:rsid w:val="00D814F4"/>
    <w:rsid w:val="00D81597"/>
    <w:rsid w:val="00D81EB6"/>
    <w:rsid w:val="00D829A4"/>
    <w:rsid w:val="00D83520"/>
    <w:rsid w:val="00D86279"/>
    <w:rsid w:val="00D87514"/>
    <w:rsid w:val="00D906A1"/>
    <w:rsid w:val="00D910CC"/>
    <w:rsid w:val="00D9297D"/>
    <w:rsid w:val="00D92E39"/>
    <w:rsid w:val="00D94091"/>
    <w:rsid w:val="00D94812"/>
    <w:rsid w:val="00D952C2"/>
    <w:rsid w:val="00D957AE"/>
    <w:rsid w:val="00D96400"/>
    <w:rsid w:val="00D969B5"/>
    <w:rsid w:val="00D97F59"/>
    <w:rsid w:val="00DA096F"/>
    <w:rsid w:val="00DA4416"/>
    <w:rsid w:val="00DA53BF"/>
    <w:rsid w:val="00DA70A2"/>
    <w:rsid w:val="00DB1763"/>
    <w:rsid w:val="00DB2532"/>
    <w:rsid w:val="00DB2FC5"/>
    <w:rsid w:val="00DB340F"/>
    <w:rsid w:val="00DB35A3"/>
    <w:rsid w:val="00DB3663"/>
    <w:rsid w:val="00DB3B67"/>
    <w:rsid w:val="00DB5027"/>
    <w:rsid w:val="00DB551F"/>
    <w:rsid w:val="00DB6904"/>
    <w:rsid w:val="00DB6E36"/>
    <w:rsid w:val="00DB7644"/>
    <w:rsid w:val="00DC2D31"/>
    <w:rsid w:val="00DC2F94"/>
    <w:rsid w:val="00DC39C4"/>
    <w:rsid w:val="00DC3CAC"/>
    <w:rsid w:val="00DC4817"/>
    <w:rsid w:val="00DC615A"/>
    <w:rsid w:val="00DC627E"/>
    <w:rsid w:val="00DC7E52"/>
    <w:rsid w:val="00DD0913"/>
    <w:rsid w:val="00DD140E"/>
    <w:rsid w:val="00DD20E3"/>
    <w:rsid w:val="00DD2B17"/>
    <w:rsid w:val="00DD39AB"/>
    <w:rsid w:val="00DD42AD"/>
    <w:rsid w:val="00DD469B"/>
    <w:rsid w:val="00DD4CFC"/>
    <w:rsid w:val="00DD521E"/>
    <w:rsid w:val="00DD56E7"/>
    <w:rsid w:val="00DD7062"/>
    <w:rsid w:val="00DD7953"/>
    <w:rsid w:val="00DE010A"/>
    <w:rsid w:val="00DE0289"/>
    <w:rsid w:val="00DE0357"/>
    <w:rsid w:val="00DE1F20"/>
    <w:rsid w:val="00DE24E3"/>
    <w:rsid w:val="00DE435D"/>
    <w:rsid w:val="00DE6338"/>
    <w:rsid w:val="00DE683D"/>
    <w:rsid w:val="00DE6A32"/>
    <w:rsid w:val="00DF1150"/>
    <w:rsid w:val="00DF29A9"/>
    <w:rsid w:val="00DF4007"/>
    <w:rsid w:val="00DF4393"/>
    <w:rsid w:val="00DF4890"/>
    <w:rsid w:val="00DF5549"/>
    <w:rsid w:val="00DF76EC"/>
    <w:rsid w:val="00E009EE"/>
    <w:rsid w:val="00E01DDD"/>
    <w:rsid w:val="00E02274"/>
    <w:rsid w:val="00E0260C"/>
    <w:rsid w:val="00E03A45"/>
    <w:rsid w:val="00E04B0E"/>
    <w:rsid w:val="00E051E2"/>
    <w:rsid w:val="00E05764"/>
    <w:rsid w:val="00E11F1B"/>
    <w:rsid w:val="00E11FA0"/>
    <w:rsid w:val="00E12151"/>
    <w:rsid w:val="00E12B46"/>
    <w:rsid w:val="00E14BD0"/>
    <w:rsid w:val="00E16173"/>
    <w:rsid w:val="00E17CC9"/>
    <w:rsid w:val="00E20E4B"/>
    <w:rsid w:val="00E2272A"/>
    <w:rsid w:val="00E22F01"/>
    <w:rsid w:val="00E2355A"/>
    <w:rsid w:val="00E24622"/>
    <w:rsid w:val="00E24DE6"/>
    <w:rsid w:val="00E2551C"/>
    <w:rsid w:val="00E3069A"/>
    <w:rsid w:val="00E3083F"/>
    <w:rsid w:val="00E30A62"/>
    <w:rsid w:val="00E30E13"/>
    <w:rsid w:val="00E3147D"/>
    <w:rsid w:val="00E32F43"/>
    <w:rsid w:val="00E3366C"/>
    <w:rsid w:val="00E33C46"/>
    <w:rsid w:val="00E34A72"/>
    <w:rsid w:val="00E35002"/>
    <w:rsid w:val="00E363E3"/>
    <w:rsid w:val="00E36719"/>
    <w:rsid w:val="00E367B8"/>
    <w:rsid w:val="00E40A05"/>
    <w:rsid w:val="00E40B8F"/>
    <w:rsid w:val="00E41F96"/>
    <w:rsid w:val="00E424C9"/>
    <w:rsid w:val="00E42695"/>
    <w:rsid w:val="00E429E1"/>
    <w:rsid w:val="00E43530"/>
    <w:rsid w:val="00E438FB"/>
    <w:rsid w:val="00E44027"/>
    <w:rsid w:val="00E4760A"/>
    <w:rsid w:val="00E47BEB"/>
    <w:rsid w:val="00E50029"/>
    <w:rsid w:val="00E5011E"/>
    <w:rsid w:val="00E51888"/>
    <w:rsid w:val="00E53518"/>
    <w:rsid w:val="00E535AB"/>
    <w:rsid w:val="00E54FE5"/>
    <w:rsid w:val="00E5677B"/>
    <w:rsid w:val="00E57577"/>
    <w:rsid w:val="00E57E01"/>
    <w:rsid w:val="00E6064B"/>
    <w:rsid w:val="00E60A52"/>
    <w:rsid w:val="00E60F30"/>
    <w:rsid w:val="00E6192C"/>
    <w:rsid w:val="00E62791"/>
    <w:rsid w:val="00E633E2"/>
    <w:rsid w:val="00E635EE"/>
    <w:rsid w:val="00E64C93"/>
    <w:rsid w:val="00E657FE"/>
    <w:rsid w:val="00E65AB1"/>
    <w:rsid w:val="00E65E8A"/>
    <w:rsid w:val="00E66956"/>
    <w:rsid w:val="00E66DB6"/>
    <w:rsid w:val="00E709E9"/>
    <w:rsid w:val="00E70E87"/>
    <w:rsid w:val="00E71437"/>
    <w:rsid w:val="00E717BA"/>
    <w:rsid w:val="00E72B85"/>
    <w:rsid w:val="00E72DD8"/>
    <w:rsid w:val="00E734FD"/>
    <w:rsid w:val="00E73990"/>
    <w:rsid w:val="00E745D9"/>
    <w:rsid w:val="00E74F87"/>
    <w:rsid w:val="00E75074"/>
    <w:rsid w:val="00E7590B"/>
    <w:rsid w:val="00E76C53"/>
    <w:rsid w:val="00E80192"/>
    <w:rsid w:val="00E80A02"/>
    <w:rsid w:val="00E8115E"/>
    <w:rsid w:val="00E87CE3"/>
    <w:rsid w:val="00E9146D"/>
    <w:rsid w:val="00E91C84"/>
    <w:rsid w:val="00E92778"/>
    <w:rsid w:val="00E93101"/>
    <w:rsid w:val="00E93172"/>
    <w:rsid w:val="00E94F6C"/>
    <w:rsid w:val="00E953FD"/>
    <w:rsid w:val="00E95829"/>
    <w:rsid w:val="00E960F2"/>
    <w:rsid w:val="00E97B13"/>
    <w:rsid w:val="00EA11B5"/>
    <w:rsid w:val="00EA12C7"/>
    <w:rsid w:val="00EA1D42"/>
    <w:rsid w:val="00EA23E8"/>
    <w:rsid w:val="00EA257F"/>
    <w:rsid w:val="00EA2995"/>
    <w:rsid w:val="00EA345A"/>
    <w:rsid w:val="00EB037D"/>
    <w:rsid w:val="00EB0CEE"/>
    <w:rsid w:val="00EB0EB5"/>
    <w:rsid w:val="00EB20A7"/>
    <w:rsid w:val="00EB21D9"/>
    <w:rsid w:val="00EB28BA"/>
    <w:rsid w:val="00EB40BB"/>
    <w:rsid w:val="00EB461B"/>
    <w:rsid w:val="00EB496B"/>
    <w:rsid w:val="00EB52C7"/>
    <w:rsid w:val="00EC0B91"/>
    <w:rsid w:val="00EC2FE8"/>
    <w:rsid w:val="00EC3728"/>
    <w:rsid w:val="00EC4787"/>
    <w:rsid w:val="00EC49F0"/>
    <w:rsid w:val="00EC4FF2"/>
    <w:rsid w:val="00ED1454"/>
    <w:rsid w:val="00ED274D"/>
    <w:rsid w:val="00ED38DE"/>
    <w:rsid w:val="00ED4A70"/>
    <w:rsid w:val="00ED6FAE"/>
    <w:rsid w:val="00ED71CE"/>
    <w:rsid w:val="00ED7D31"/>
    <w:rsid w:val="00EE02BC"/>
    <w:rsid w:val="00EE0B21"/>
    <w:rsid w:val="00EE0EDD"/>
    <w:rsid w:val="00EE1660"/>
    <w:rsid w:val="00EE1FBC"/>
    <w:rsid w:val="00EE291E"/>
    <w:rsid w:val="00EE2D8D"/>
    <w:rsid w:val="00EE428F"/>
    <w:rsid w:val="00EE4F85"/>
    <w:rsid w:val="00EE5E5C"/>
    <w:rsid w:val="00EE6EAC"/>
    <w:rsid w:val="00EE781B"/>
    <w:rsid w:val="00EF099D"/>
    <w:rsid w:val="00EF0AFB"/>
    <w:rsid w:val="00EF0E49"/>
    <w:rsid w:val="00EF2624"/>
    <w:rsid w:val="00EF2B01"/>
    <w:rsid w:val="00EF4370"/>
    <w:rsid w:val="00EF615B"/>
    <w:rsid w:val="00F00319"/>
    <w:rsid w:val="00F00ED5"/>
    <w:rsid w:val="00F010F0"/>
    <w:rsid w:val="00F01388"/>
    <w:rsid w:val="00F02E53"/>
    <w:rsid w:val="00F044D1"/>
    <w:rsid w:val="00F04A8A"/>
    <w:rsid w:val="00F05826"/>
    <w:rsid w:val="00F073B1"/>
    <w:rsid w:val="00F078C0"/>
    <w:rsid w:val="00F102BA"/>
    <w:rsid w:val="00F11A5A"/>
    <w:rsid w:val="00F12FFF"/>
    <w:rsid w:val="00F13CD4"/>
    <w:rsid w:val="00F169B1"/>
    <w:rsid w:val="00F16D1E"/>
    <w:rsid w:val="00F214AC"/>
    <w:rsid w:val="00F218F9"/>
    <w:rsid w:val="00F21B3D"/>
    <w:rsid w:val="00F21D45"/>
    <w:rsid w:val="00F2307D"/>
    <w:rsid w:val="00F25291"/>
    <w:rsid w:val="00F26086"/>
    <w:rsid w:val="00F26E36"/>
    <w:rsid w:val="00F31431"/>
    <w:rsid w:val="00F3247D"/>
    <w:rsid w:val="00F32B93"/>
    <w:rsid w:val="00F33254"/>
    <w:rsid w:val="00F33A00"/>
    <w:rsid w:val="00F34BD7"/>
    <w:rsid w:val="00F3664A"/>
    <w:rsid w:val="00F3673F"/>
    <w:rsid w:val="00F36A8D"/>
    <w:rsid w:val="00F374F1"/>
    <w:rsid w:val="00F37965"/>
    <w:rsid w:val="00F4101A"/>
    <w:rsid w:val="00F423D4"/>
    <w:rsid w:val="00F44890"/>
    <w:rsid w:val="00F466FE"/>
    <w:rsid w:val="00F467A7"/>
    <w:rsid w:val="00F47A79"/>
    <w:rsid w:val="00F517E6"/>
    <w:rsid w:val="00F557AE"/>
    <w:rsid w:val="00F56C6B"/>
    <w:rsid w:val="00F56DD9"/>
    <w:rsid w:val="00F61A4C"/>
    <w:rsid w:val="00F61A7F"/>
    <w:rsid w:val="00F62FCE"/>
    <w:rsid w:val="00F66705"/>
    <w:rsid w:val="00F678A7"/>
    <w:rsid w:val="00F678C2"/>
    <w:rsid w:val="00F70E15"/>
    <w:rsid w:val="00F724D3"/>
    <w:rsid w:val="00F732A0"/>
    <w:rsid w:val="00F7472D"/>
    <w:rsid w:val="00F75C83"/>
    <w:rsid w:val="00F761D4"/>
    <w:rsid w:val="00F77B78"/>
    <w:rsid w:val="00F80BF3"/>
    <w:rsid w:val="00F811C9"/>
    <w:rsid w:val="00F81E4D"/>
    <w:rsid w:val="00F8380C"/>
    <w:rsid w:val="00F852D4"/>
    <w:rsid w:val="00F8672E"/>
    <w:rsid w:val="00F869B8"/>
    <w:rsid w:val="00F86AA3"/>
    <w:rsid w:val="00F86C4E"/>
    <w:rsid w:val="00F91242"/>
    <w:rsid w:val="00F91674"/>
    <w:rsid w:val="00F9239F"/>
    <w:rsid w:val="00F92C7F"/>
    <w:rsid w:val="00F935B9"/>
    <w:rsid w:val="00F93CEA"/>
    <w:rsid w:val="00F940AA"/>
    <w:rsid w:val="00F95501"/>
    <w:rsid w:val="00F95C90"/>
    <w:rsid w:val="00F97809"/>
    <w:rsid w:val="00FA035E"/>
    <w:rsid w:val="00FA1681"/>
    <w:rsid w:val="00FA37BF"/>
    <w:rsid w:val="00FA420E"/>
    <w:rsid w:val="00FA48FC"/>
    <w:rsid w:val="00FA4DA9"/>
    <w:rsid w:val="00FA5B11"/>
    <w:rsid w:val="00FA7509"/>
    <w:rsid w:val="00FB12DA"/>
    <w:rsid w:val="00FB16CA"/>
    <w:rsid w:val="00FB17AC"/>
    <w:rsid w:val="00FB46BB"/>
    <w:rsid w:val="00FB5579"/>
    <w:rsid w:val="00FB57B7"/>
    <w:rsid w:val="00FB625B"/>
    <w:rsid w:val="00FB63F8"/>
    <w:rsid w:val="00FB79E4"/>
    <w:rsid w:val="00FB7B25"/>
    <w:rsid w:val="00FC0311"/>
    <w:rsid w:val="00FC046A"/>
    <w:rsid w:val="00FC05E4"/>
    <w:rsid w:val="00FC079D"/>
    <w:rsid w:val="00FC19D9"/>
    <w:rsid w:val="00FC1BAB"/>
    <w:rsid w:val="00FC257C"/>
    <w:rsid w:val="00FC2BDB"/>
    <w:rsid w:val="00FC3EF4"/>
    <w:rsid w:val="00FC429F"/>
    <w:rsid w:val="00FC5150"/>
    <w:rsid w:val="00FC6881"/>
    <w:rsid w:val="00FC72BB"/>
    <w:rsid w:val="00FC7566"/>
    <w:rsid w:val="00FD03FE"/>
    <w:rsid w:val="00FD0A9F"/>
    <w:rsid w:val="00FD0B73"/>
    <w:rsid w:val="00FD0FE9"/>
    <w:rsid w:val="00FD16EA"/>
    <w:rsid w:val="00FD445D"/>
    <w:rsid w:val="00FD4D65"/>
    <w:rsid w:val="00FD4D92"/>
    <w:rsid w:val="00FD584E"/>
    <w:rsid w:val="00FD7600"/>
    <w:rsid w:val="00FD7B6F"/>
    <w:rsid w:val="00FE09B6"/>
    <w:rsid w:val="00FE0B07"/>
    <w:rsid w:val="00FE1C36"/>
    <w:rsid w:val="00FE226A"/>
    <w:rsid w:val="00FE2AB4"/>
    <w:rsid w:val="00FE37D7"/>
    <w:rsid w:val="00FE3CEC"/>
    <w:rsid w:val="00FE4601"/>
    <w:rsid w:val="00FE4B21"/>
    <w:rsid w:val="00FE56EC"/>
    <w:rsid w:val="00FE5C85"/>
    <w:rsid w:val="00FF03AC"/>
    <w:rsid w:val="00FF0784"/>
    <w:rsid w:val="00FF09B8"/>
    <w:rsid w:val="00FF19D2"/>
    <w:rsid w:val="00FF32F6"/>
    <w:rsid w:val="00FF40A7"/>
    <w:rsid w:val="00FF4CEF"/>
    <w:rsid w:val="00FF5844"/>
    <w:rsid w:val="00FF5BCC"/>
    <w:rsid w:val="00FF6E6F"/>
    <w:rsid w:val="00FF730B"/>
    <w:rsid w:val="00FF7607"/>
    <w:rsid w:val="00FF78FF"/>
    <w:rsid w:val="00FF794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4A7527"/>
  <w14:defaultImageDpi w14:val="0"/>
  <w15:docId w15:val="{C94E2507-1F1A-4FAC-B2FB-EA7611065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6A8D"/>
    <w:pPr>
      <w:suppressAutoHyphens/>
    </w:pPr>
    <w:rPr>
      <w:sz w:val="24"/>
      <w:lang w:val="en-GB" w:eastAsia="ar-SA"/>
    </w:rPr>
  </w:style>
  <w:style w:type="paragraph" w:styleId="Heading1">
    <w:name w:val="heading 1"/>
    <w:basedOn w:val="Normal"/>
    <w:next w:val="Normal"/>
    <w:link w:val="Heading1Char"/>
    <w:qFormat/>
    <w:pPr>
      <w:keepNext/>
      <w:outlineLvl w:val="0"/>
    </w:pPr>
    <w:rPr>
      <w:b/>
      <w:color w:val="000080"/>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b/>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0E60B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E60B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E60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0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0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0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hAnsi="Calibri"/>
      <w:b/>
      <w:kern w:val="1"/>
      <w:sz w:val="32"/>
      <w:lang w:val="en-GB" w:eastAsia="x-none"/>
    </w:rPr>
  </w:style>
  <w:style w:type="character" w:customStyle="1" w:styleId="Heading2Char">
    <w:name w:val="Heading 2 Char"/>
    <w:link w:val="Heading2"/>
    <w:uiPriority w:val="9"/>
    <w:rPr>
      <w:rFonts w:ascii="Arial" w:hAnsi="Arial"/>
      <w:b/>
      <w:sz w:val="24"/>
      <w:lang w:val="en-GB" w:eastAsia="ar-SA"/>
    </w:rPr>
  </w:style>
  <w:style w:type="character" w:customStyle="1" w:styleId="Heading3Char">
    <w:name w:val="Heading 3 Char"/>
    <w:link w:val="Heading3"/>
    <w:uiPriority w:val="9"/>
    <w:rPr>
      <w:rFonts w:ascii="Arial" w:hAnsi="Arial" w:cs="Arial"/>
      <w:b/>
      <w:bCs/>
      <w:sz w:val="26"/>
      <w:szCs w:val="26"/>
      <w:lang w:val="en-GB" w:eastAsia="ar-SA"/>
    </w:rPr>
  </w:style>
  <w:style w:type="character" w:customStyle="1" w:styleId="WW8Num2z0">
    <w:name w:val="WW8Num2z0"/>
    <w:rPr>
      <w:rFonts w:ascii="Symbol" w:hAnsi="Symbol"/>
      <w:sz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3z0">
    <w:name w:val="WW8Num3z0"/>
    <w:rPr>
      <w:rFonts w:ascii="Symbol" w:hAnsi="Symbol"/>
      <w:sz w:val="20"/>
    </w:rPr>
  </w:style>
  <w:style w:type="character" w:customStyle="1" w:styleId="WW8Num4z0">
    <w:name w:val="WW8Num4z0"/>
  </w:style>
  <w:style w:type="character" w:customStyle="1" w:styleId="WW8Num5z0">
    <w:name w:val="WW8Num5z0"/>
    <w:rPr>
      <w:sz w:val="24"/>
    </w:rPr>
  </w:style>
  <w:style w:type="character" w:customStyle="1" w:styleId="WW8Num5z1">
    <w:name w:val="WW8Num5z1"/>
    <w:rPr>
      <w:rFonts w:ascii="Symbol" w:hAnsi="Symbol"/>
    </w:rPr>
  </w:style>
  <w:style w:type="character" w:customStyle="1" w:styleId="WW8Num5z2">
    <w:name w:val="WW8Num5z2"/>
  </w:style>
  <w:style w:type="character" w:customStyle="1" w:styleId="WW8Num5z3">
    <w:name w:val="WW8Num5z3"/>
  </w:style>
  <w:style w:type="character" w:customStyle="1" w:styleId="WW8Num6z0">
    <w:name w:val="WW8Num6z0"/>
    <w:rPr>
      <w:rFonts w:ascii="Symbol" w:hAnsi="Symbol"/>
      <w:sz w:val="20"/>
    </w:rPr>
  </w:style>
  <w:style w:type="character" w:customStyle="1" w:styleId="WW8Num6z1">
    <w:name w:val="WW8Num6z1"/>
    <w:rPr>
      <w:rFonts w:ascii="Symbol" w:hAnsi="Symbol"/>
    </w:rPr>
  </w:style>
  <w:style w:type="character" w:customStyle="1" w:styleId="WW8Num6z2">
    <w:name w:val="WW8Num6z2"/>
  </w:style>
  <w:style w:type="character" w:customStyle="1" w:styleId="WW8Num7z0">
    <w:name w:val="WW8Num7z0"/>
    <w:rPr>
      <w:rFonts w:ascii="Symbol" w:hAnsi="Symbol"/>
      <w:sz w:val="20"/>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style>
  <w:style w:type="character" w:customStyle="1" w:styleId="WW8Num8z0">
    <w:name w:val="WW8Num8z0"/>
    <w:rPr>
      <w:rFonts w:ascii="Arial" w:hAnsi="Arial"/>
      <w:sz w:val="24"/>
    </w:rPr>
  </w:style>
  <w:style w:type="character" w:customStyle="1" w:styleId="WW8Num8z1">
    <w:name w:val="WW8Num8z1"/>
  </w:style>
  <w:style w:type="character" w:customStyle="1" w:styleId="WW8Num8z2">
    <w:name w:val="WW8Num8z2"/>
    <w:rPr>
      <w:rFonts w:ascii="Wingdings" w:hAnsi="Wingdings"/>
    </w:rPr>
  </w:style>
  <w:style w:type="character" w:customStyle="1" w:styleId="WW8Num8z3">
    <w:name w:val="WW8Num8z3"/>
  </w:style>
  <w:style w:type="character" w:customStyle="1" w:styleId="WW8Num9z0">
    <w:name w:val="WW8Num9z0"/>
    <w:rPr>
      <w:rFonts w:ascii="Symbol" w:hAnsi="Symbol"/>
      <w:sz w:val="20"/>
    </w:rPr>
  </w:style>
  <w:style w:type="character" w:customStyle="1" w:styleId="WW8Num9z1">
    <w:name w:val="WW8Num9z1"/>
    <w:rPr>
      <w:rFonts w:ascii="Symbol" w:hAnsi="Symbol"/>
    </w:rPr>
  </w:style>
  <w:style w:type="character" w:customStyle="1" w:styleId="WW8Num9z2">
    <w:name w:val="WW8Num9z2"/>
  </w:style>
  <w:style w:type="character" w:customStyle="1" w:styleId="WW8Num9z3">
    <w:name w:val="WW8Num9z3"/>
  </w:style>
  <w:style w:type="character" w:customStyle="1" w:styleId="WW8Num10z0">
    <w:name w:val="WW8Num10z0"/>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0z3">
    <w:name w:val="WW8Num10z3"/>
  </w:style>
  <w:style w:type="character" w:customStyle="1" w:styleId="WW8Num11z0">
    <w:name w:val="WW8Num11z0"/>
    <w:rPr>
      <w:rFonts w:ascii="Symbol" w:hAnsi="Symbol"/>
      <w:sz w:val="20"/>
    </w:rPr>
  </w:style>
  <w:style w:type="character" w:customStyle="1" w:styleId="WW8Num12z0">
    <w:name w:val="WW8Num12z0"/>
    <w:rPr>
      <w:sz w:val="24"/>
    </w:rPr>
  </w:style>
  <w:style w:type="character" w:customStyle="1" w:styleId="WW8Num12z1">
    <w:name w:val="WW8Num12z1"/>
    <w:rPr>
      <w:rFonts w:ascii="Symbol" w:hAnsi="Symbol"/>
    </w:rPr>
  </w:style>
  <w:style w:type="character" w:customStyle="1" w:styleId="WW8Num12z2">
    <w:name w:val="WW8Num12z2"/>
  </w:style>
  <w:style w:type="character" w:customStyle="1" w:styleId="WW8Num12z3">
    <w:name w:val="WW8Num12z3"/>
  </w:style>
  <w:style w:type="character" w:customStyle="1" w:styleId="DefaultParagraphFont1">
    <w:name w:val="Default Paragraph Font1"/>
  </w:style>
  <w:style w:type="character" w:customStyle="1" w:styleId="Absatz-Standardschriftart">
    <w:name w:val="Absatz-Standardschriftart"/>
  </w:style>
  <w:style w:type="character" w:customStyle="1" w:styleId="WW8Num6z3">
    <w:name w:val="WW8Num6z3"/>
  </w:style>
  <w:style w:type="character" w:customStyle="1" w:styleId="WW8Num13z0">
    <w:name w:val="WW8Num13z0"/>
  </w:style>
  <w:style w:type="character" w:customStyle="1" w:styleId="WW8Num13z1">
    <w:name w:val="WW8Num13z1"/>
    <w:rPr>
      <w:rFonts w:ascii="Symbol" w:hAnsi="Symbol"/>
    </w:rPr>
  </w:style>
  <w:style w:type="character" w:customStyle="1" w:styleId="WW8Num13z2">
    <w:name w:val="WW8Num13z2"/>
  </w:style>
  <w:style w:type="character" w:customStyle="1" w:styleId="WW8Num13z3">
    <w:name w:val="WW8Num13z3"/>
  </w:style>
  <w:style w:type="character" w:customStyle="1" w:styleId="WW8Num14z0">
    <w:name w:val="WW8Num14z0"/>
    <w:rPr>
      <w:rFonts w:ascii="Symbol" w:hAnsi="Symbol"/>
      <w:sz w:val="24"/>
    </w:rPr>
  </w:style>
  <w:style w:type="character" w:customStyle="1" w:styleId="WW8Num14z1">
    <w:name w:val="WW8Num14z1"/>
    <w:rPr>
      <w:rFonts w:ascii="Symbol" w:hAnsi="Symbol"/>
    </w:rPr>
  </w:style>
  <w:style w:type="character" w:customStyle="1" w:styleId="WW8Num14z2">
    <w:name w:val="WW8Num14z2"/>
  </w:style>
  <w:style w:type="character" w:customStyle="1" w:styleId="WW8Num14z3">
    <w:name w:val="WW8Num14z3"/>
  </w:style>
  <w:style w:type="character" w:customStyle="1" w:styleId="WW8Num15z0">
    <w:name w:val="WW8Num15z0"/>
    <w:rPr>
      <w:rFonts w:ascii="Symbol" w:hAnsi="Symbol"/>
    </w:rPr>
  </w:style>
  <w:style w:type="character" w:customStyle="1" w:styleId="WW8Num16z0">
    <w:name w:val="WW8Num16z0"/>
    <w:rPr>
      <w:rFonts w:ascii="Symbol" w:hAnsi="Symbol"/>
      <w:sz w:val="20"/>
    </w:rPr>
  </w:style>
  <w:style w:type="character" w:customStyle="1" w:styleId="WW-DefaultParagraphFont">
    <w:name w:val="WW-Default Paragraph Font"/>
  </w:style>
  <w:style w:type="character" w:customStyle="1" w:styleId="WW8Num3z1">
    <w:name w:val="WW8Num3z1"/>
    <w:rPr>
      <w:rFonts w:ascii="Symbol" w:hAnsi="Symbol"/>
    </w:rPr>
  </w:style>
  <w:style w:type="character" w:customStyle="1" w:styleId="WW8Num3z2">
    <w:name w:val="WW8Num3z2"/>
  </w:style>
  <w:style w:type="character" w:customStyle="1" w:styleId="WW8Num3z3">
    <w:name w:val="WW8Num3z3"/>
  </w:style>
  <w:style w:type="character" w:customStyle="1" w:styleId="WW8Num11z1">
    <w:name w:val="WW8Num11z1"/>
    <w:rPr>
      <w:rFonts w:ascii="Symbol" w:hAnsi="Symbol"/>
    </w:rPr>
  </w:style>
  <w:style w:type="character" w:customStyle="1" w:styleId="WW8Num11z2">
    <w:name w:val="WW8Num11z2"/>
  </w:style>
  <w:style w:type="character" w:customStyle="1" w:styleId="WW-DefaultParagraphFont1">
    <w:name w:val="WW-Default Paragraph Font1"/>
  </w:style>
  <w:style w:type="character" w:customStyle="1" w:styleId="WW8Num11z3">
    <w:name w:val="WW8Num11z3"/>
  </w:style>
  <w:style w:type="character" w:customStyle="1" w:styleId="WW-DefaultParagraphFont11">
    <w:name w:val="WW-Default Paragraph Font11"/>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DefaultParagraphFont111">
    <w:name w:val="WW-Default Paragraph Font11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ascii="Garamond" w:hAnsi="Garamond"/>
      <w:sz w:val="24"/>
    </w:rPr>
  </w:style>
  <w:style w:type="character" w:customStyle="1" w:styleId="WW8Num1z1">
    <w:name w:val="WW8Num1z1"/>
  </w:style>
  <w:style w:type="character" w:customStyle="1" w:styleId="TitleChar">
    <w:name w:val="Title Char"/>
    <w:rPr>
      <w:rFonts w:ascii="Calibri" w:hAnsi="Calibri"/>
      <w:b/>
      <w:kern w:val="1"/>
      <w:sz w:val="32"/>
      <w:lang w:val="en-GB" w:eastAsia="x-none"/>
    </w:rPr>
  </w:style>
  <w:style w:type="character" w:customStyle="1" w:styleId="DateChar">
    <w:name w:val="Date Char"/>
    <w:rPr>
      <w:sz w:val="20"/>
      <w:lang w:val="en-GB" w:eastAsia="x-none"/>
    </w:rPr>
  </w:style>
  <w:style w:type="character" w:customStyle="1" w:styleId="FootnoteTextChar">
    <w:name w:val="Footnote Text Char"/>
    <w:uiPriority w:val="99"/>
    <w:rPr>
      <w:sz w:val="20"/>
      <w:lang w:val="en-GB" w:eastAsia="x-none"/>
    </w:rPr>
  </w:style>
  <w:style w:type="character" w:customStyle="1" w:styleId="BodyText2Char">
    <w:name w:val="Body Text 2 Char"/>
    <w:rPr>
      <w:sz w:val="20"/>
      <w:lang w:val="en-GB" w:eastAsia="x-none"/>
    </w:rPr>
  </w:style>
  <w:style w:type="character" w:customStyle="1" w:styleId="HeaderChar">
    <w:name w:val="Header Char"/>
    <w:rPr>
      <w:sz w:val="20"/>
      <w:lang w:val="en-GB" w:eastAsia="x-none"/>
    </w:rPr>
  </w:style>
  <w:style w:type="character" w:customStyle="1" w:styleId="FooterChar">
    <w:name w:val="Footer Char"/>
    <w:uiPriority w:val="99"/>
    <w:rPr>
      <w:sz w:val="20"/>
      <w:lang w:val="en-GB" w:eastAsia="x-none"/>
    </w:rPr>
  </w:style>
  <w:style w:type="character" w:customStyle="1" w:styleId="BodyTextChar">
    <w:name w:val="Body Text Char"/>
    <w:rPr>
      <w:rFonts w:ascii="Arial" w:hAnsi="Arial"/>
      <w:sz w:val="24"/>
      <w:lang w:val="en-GB" w:eastAsia="x-none"/>
    </w:rPr>
  </w:style>
  <w:style w:type="character" w:customStyle="1" w:styleId="BodyText3Char">
    <w:name w:val="Body Text 3 Char"/>
    <w:rPr>
      <w:rFonts w:ascii="Arial" w:hAnsi="Arial"/>
      <w:sz w:val="24"/>
      <w:lang w:val="en-GB" w:eastAsia="x-none"/>
    </w:rPr>
  </w:style>
  <w:style w:type="character" w:customStyle="1" w:styleId="FootnoteCharacters">
    <w:name w:val="Footnote Characters"/>
    <w:rPr>
      <w:vertAlign w:val="superscript"/>
    </w:rPr>
  </w:style>
  <w:style w:type="character" w:styleId="PageNumber">
    <w:name w:val="page number"/>
    <w:basedOn w:val="DefaultParagraphFont"/>
  </w:style>
  <w:style w:type="character" w:customStyle="1" w:styleId="BalloonTextChar">
    <w:name w:val="Balloon Text Char"/>
    <w:rPr>
      <w:rFonts w:ascii="Tahoma" w:hAnsi="Tahoma"/>
      <w:sz w:val="16"/>
      <w:lang w:val="en-GB" w:eastAsia="x-none"/>
    </w:rPr>
  </w:style>
  <w:style w:type="character" w:styleId="CommentReference">
    <w:name w:val="annotation reference"/>
    <w:rPr>
      <w:sz w:val="16"/>
    </w:rPr>
  </w:style>
  <w:style w:type="character" w:customStyle="1" w:styleId="CommentTextChar">
    <w:name w:val="Comment Text Char"/>
    <w:rPr>
      <w:lang w:val="en-GB" w:eastAsia="x-none"/>
    </w:rPr>
  </w:style>
  <w:style w:type="character" w:customStyle="1" w:styleId="CommentSubjectChar">
    <w:name w:val="Comment Subject Char"/>
    <w:rPr>
      <w:b/>
      <w:lang w:val="en-GB" w:eastAsia="x-none"/>
    </w:rPr>
  </w:style>
  <w:style w:type="character" w:styleId="Hyperlink">
    <w:name w:val="Hyperlink"/>
    <w:uiPriority w:val="99"/>
    <w:rPr>
      <w:color w:val="0000FF"/>
      <w:u w:val="single"/>
    </w:rPr>
  </w:style>
  <w:style w:type="character" w:customStyle="1" w:styleId="googqs-tidbit-0">
    <w:name w:val="goog_qs-tidbit-0"/>
    <w:rPr>
      <w:rFonts w:ascii="Tahoma" w:hAnsi="Tahoma"/>
      <w:color w:val="707070"/>
    </w:rPr>
  </w:style>
  <w:style w:type="character" w:customStyle="1" w:styleId="superscript">
    <w:name w:val="superscript"/>
    <w:rPr>
      <w:rFonts w:cs="Times New Roman"/>
    </w:rPr>
  </w:style>
  <w:style w:type="character" w:styleId="FollowedHyperlink">
    <w:name w:val="FollowedHyperlink"/>
    <w:rPr>
      <w:color w:val="800080"/>
      <w:u w:val="single"/>
    </w:rPr>
  </w:style>
  <w:style w:type="character" w:styleId="Strong">
    <w:name w:val="Strong"/>
    <w:uiPriority w:val="22"/>
    <w:qFormat/>
    <w:rPr>
      <w:b/>
    </w:rPr>
  </w:style>
  <w:style w:type="character" w:customStyle="1" w:styleId="EndnoteTextChar">
    <w:name w:val="Endnote Text Char"/>
    <w:uiPriority w:val="99"/>
    <w:rPr>
      <w:lang w:val="en-GB" w:eastAsia="x-none"/>
    </w:rPr>
  </w:style>
  <w:style w:type="character" w:customStyle="1" w:styleId="EndnoteCharacters">
    <w:name w:val="Endnote Characters"/>
    <w:rPr>
      <w:vertAlign w:val="superscript"/>
    </w:rPr>
  </w:style>
  <w:style w:type="character" w:styleId="Emphasis">
    <w:name w:val="Emphasis"/>
    <w:uiPriority w:val="20"/>
    <w:qFormat/>
    <w:rPr>
      <w:i/>
    </w:rPr>
  </w:style>
  <w:style w:type="character" w:customStyle="1" w:styleId="googqs-tidbit1">
    <w:name w:val="goog_qs-tidbit1"/>
  </w:style>
  <w:style w:type="character" w:customStyle="1" w:styleId="EndnoteReference1">
    <w:name w:val="Endnote Reference1"/>
    <w:rPr>
      <w:vertAlign w:val="superscript"/>
    </w:rPr>
  </w:style>
  <w:style w:type="character" w:customStyle="1" w:styleId="FootnoteReference1">
    <w:name w:val="Footnote Reference1"/>
    <w:rPr>
      <w:vertAlign w:val="superscript"/>
    </w:rPr>
  </w:style>
  <w:style w:type="character" w:customStyle="1" w:styleId="WW-EndnoteReference">
    <w:name w:val="WW-Endnote Reference"/>
    <w:rPr>
      <w:vertAlign w:val="superscript"/>
    </w:rPr>
  </w:style>
  <w:style w:type="character" w:customStyle="1" w:styleId="WW-FootnoteReference">
    <w:name w:val="WW-Footnote Reference"/>
    <w:rPr>
      <w:vertAlign w:val="superscript"/>
    </w:rPr>
  </w:style>
  <w:style w:type="character" w:customStyle="1" w:styleId="WW-EndnoteReference1">
    <w:name w:val="WW-Endnote Reference1"/>
    <w:rPr>
      <w:vertAlign w:val="superscript"/>
    </w:rPr>
  </w:style>
  <w:style w:type="character" w:customStyle="1" w:styleId="WW-FootnoteReference1">
    <w:name w:val="WW-Footnote Reference1"/>
    <w:rPr>
      <w:vertAlign w:val="superscript"/>
    </w:rPr>
  </w:style>
  <w:style w:type="character" w:styleId="HTMLCite">
    <w:name w:val="HTML Cite"/>
    <w:uiPriority w:val="99"/>
    <w:rPr>
      <w:i/>
    </w:rPr>
  </w:style>
  <w:style w:type="character" w:customStyle="1" w:styleId="z-TopofFormChar">
    <w:name w:val="z-Top of Form Char"/>
    <w:rPr>
      <w:rFonts w:ascii="Arial" w:hAnsi="Arial"/>
      <w:vanish/>
      <w:sz w:val="16"/>
    </w:rPr>
  </w:style>
  <w:style w:type="character" w:customStyle="1" w:styleId="z-BottomofFormChar">
    <w:name w:val="z-Bottom of Form Char"/>
    <w:rPr>
      <w:rFonts w:ascii="Arial" w:hAnsi="Arial"/>
      <w:vanish/>
      <w:sz w:val="16"/>
    </w:rPr>
  </w:style>
  <w:style w:type="character" w:customStyle="1" w:styleId="ft">
    <w:name w:val="ft"/>
  </w:style>
  <w:style w:type="character" w:customStyle="1" w:styleId="WW-EndnoteReference12">
    <w:name w:val="WW-Endnote Reference12"/>
    <w:rPr>
      <w:vertAlign w:val="superscript"/>
    </w:rPr>
  </w:style>
  <w:style w:type="character" w:customStyle="1" w:styleId="WW-FootnoteReference12">
    <w:name w:val="WW-Footnote Reference12"/>
    <w:rPr>
      <w:vertAlign w:val="superscript"/>
    </w:rPr>
  </w:style>
  <w:style w:type="character" w:customStyle="1" w:styleId="WW-EndnoteReference123">
    <w:name w:val="WW-Endnote Reference123"/>
    <w:rPr>
      <w:vertAlign w:val="superscript"/>
    </w:rPr>
  </w:style>
  <w:style w:type="character" w:customStyle="1" w:styleId="WW-FootnoteReference123">
    <w:name w:val="WW-Footnote Reference123"/>
    <w:rPr>
      <w:vertAlign w:val="superscript"/>
    </w:rPr>
  </w:style>
  <w:style w:type="character" w:styleId="EndnoteReference">
    <w:name w:val="endnote reference"/>
    <w:uiPriority w:val="99"/>
    <w:rPr>
      <w:vertAlign w:val="superscript"/>
    </w:rPr>
  </w:style>
  <w:style w:type="character" w:styleId="FootnoteReference">
    <w:name w:val="footnote reference"/>
    <w:uiPriority w:val="99"/>
    <w:rPr>
      <w:vertAlign w:val="superscript"/>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link w:val="BodyTextChar1"/>
    <w:qFormat/>
    <w:pPr>
      <w:spacing w:after="120"/>
      <w:jc w:val="both"/>
    </w:pPr>
    <w:rPr>
      <w:rFonts w:ascii="Arial" w:hAnsi="Arial"/>
    </w:rPr>
  </w:style>
  <w:style w:type="character" w:customStyle="1" w:styleId="BodyTextChar1">
    <w:name w:val="Body Text Char1"/>
    <w:link w:val="BodyText"/>
    <w:locked/>
    <w:rPr>
      <w:rFonts w:ascii="Arial" w:hAnsi="Arial"/>
      <w:sz w:val="24"/>
      <w:lang w:val="en-GB" w:eastAsia="ar-SA" w:bidi="ar-SA"/>
    </w:r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pPr>
      <w:suppressLineNumbers/>
    </w:pPr>
  </w:style>
  <w:style w:type="paragraph" w:styleId="Title">
    <w:name w:val="Title"/>
    <w:basedOn w:val="Normal"/>
    <w:next w:val="Subtitle"/>
    <w:link w:val="TitleChar1"/>
    <w:qFormat/>
    <w:pPr>
      <w:spacing w:before="480"/>
      <w:jc w:val="both"/>
    </w:pPr>
    <w:rPr>
      <w:b/>
      <w:caps/>
      <w:color w:val="808000"/>
    </w:rPr>
  </w:style>
  <w:style w:type="character" w:customStyle="1" w:styleId="TitleChar1">
    <w:name w:val="Title Char1"/>
    <w:link w:val="Title"/>
    <w:uiPriority w:val="10"/>
    <w:rsid w:val="00872041"/>
    <w:rPr>
      <w:rFonts w:ascii="Cambria" w:eastAsia="Times New Roman" w:hAnsi="Cambria" w:cs="Times New Roman"/>
      <w:b/>
      <w:bCs/>
      <w:kern w:val="28"/>
      <w:sz w:val="32"/>
      <w:szCs w:val="32"/>
      <w:lang w:val="en-GB" w:eastAsia="ar-SA"/>
    </w:rPr>
  </w:style>
  <w:style w:type="paragraph" w:styleId="Subtitle">
    <w:name w:val="Subtitle"/>
    <w:basedOn w:val="Heading"/>
    <w:next w:val="BodyText"/>
    <w:link w:val="SubtitleChar"/>
    <w:qFormat/>
    <w:pPr>
      <w:jc w:val="center"/>
    </w:pPr>
    <w:rPr>
      <w:i/>
      <w:iCs/>
    </w:rPr>
  </w:style>
  <w:style w:type="character" w:customStyle="1" w:styleId="SubtitleChar">
    <w:name w:val="Subtitle Char"/>
    <w:link w:val="Subtitle"/>
    <w:uiPriority w:val="11"/>
    <w:rsid w:val="00872041"/>
    <w:rPr>
      <w:rFonts w:ascii="Cambria" w:eastAsia="Times New Roman" w:hAnsi="Cambria" w:cs="Times New Roman"/>
      <w:sz w:val="24"/>
      <w:szCs w:val="24"/>
      <w:lang w:val="en-GB" w:eastAsia="ar-SA"/>
    </w:rPr>
  </w:style>
  <w:style w:type="paragraph" w:styleId="Date">
    <w:name w:val="Date"/>
    <w:basedOn w:val="Normal"/>
    <w:link w:val="DateChar1"/>
    <w:pPr>
      <w:spacing w:before="2160" w:after="240"/>
    </w:pPr>
    <w:rPr>
      <w:rFonts w:ascii="Arial" w:hAnsi="Arial"/>
    </w:rPr>
  </w:style>
  <w:style w:type="character" w:customStyle="1" w:styleId="DateChar1">
    <w:name w:val="Date Char1"/>
    <w:link w:val="Date"/>
    <w:rsid w:val="00872041"/>
    <w:rPr>
      <w:sz w:val="24"/>
      <w:lang w:val="en-GB" w:eastAsia="ar-SA"/>
    </w:rPr>
  </w:style>
  <w:style w:type="paragraph" w:styleId="EnvelopeReturn">
    <w:name w:val="envelope return"/>
    <w:basedOn w:val="Normal"/>
    <w:pPr>
      <w:keepNext/>
      <w:jc w:val="both"/>
    </w:pPr>
    <w:rPr>
      <w:rFonts w:ascii="Arial" w:hAnsi="Arial"/>
      <w:color w:val="800000"/>
    </w:rPr>
  </w:style>
  <w:style w:type="paragraph" w:styleId="FootnoteText">
    <w:name w:val="footnote text"/>
    <w:basedOn w:val="Normal"/>
    <w:link w:val="FootnoteTextChar1"/>
    <w:uiPriority w:val="99"/>
    <w:rPr>
      <w:rFonts w:ascii="Arial" w:hAnsi="Arial"/>
      <w:sz w:val="20"/>
      <w:lang w:val="en-AU"/>
    </w:rPr>
  </w:style>
  <w:style w:type="character" w:customStyle="1" w:styleId="FootnoteTextChar1">
    <w:name w:val="Footnote Text Char1"/>
    <w:link w:val="FootnoteText"/>
    <w:uiPriority w:val="99"/>
    <w:rsid w:val="00872041"/>
    <w:rPr>
      <w:lang w:val="en-GB" w:eastAsia="ar-SA"/>
    </w:rPr>
  </w:style>
  <w:style w:type="paragraph" w:styleId="BodyText2">
    <w:name w:val="Body Text 2"/>
    <w:basedOn w:val="Normal"/>
    <w:link w:val="BodyText2Char1"/>
    <w:rPr>
      <w:rFonts w:ascii="Arial" w:hAnsi="Arial"/>
      <w:b/>
      <w:vanish/>
      <w:color w:val="0000FF"/>
    </w:rPr>
  </w:style>
  <w:style w:type="character" w:customStyle="1" w:styleId="BodyText2Char1">
    <w:name w:val="Body Text 2 Char1"/>
    <w:link w:val="BodyText2"/>
    <w:rsid w:val="00872041"/>
    <w:rPr>
      <w:sz w:val="24"/>
      <w:lang w:val="en-GB" w:eastAsia="ar-SA"/>
    </w:rPr>
  </w:style>
  <w:style w:type="paragraph" w:styleId="NormalIndent">
    <w:name w:val="Normal Indent"/>
    <w:basedOn w:val="Normal"/>
    <w:pPr>
      <w:ind w:left="720"/>
    </w:pPr>
  </w:style>
  <w:style w:type="paragraph" w:styleId="Header">
    <w:name w:val="header"/>
    <w:basedOn w:val="Normal"/>
    <w:link w:val="HeaderChar1"/>
    <w:rPr>
      <w:rFonts w:ascii="Arial" w:hAnsi="Arial"/>
    </w:rPr>
  </w:style>
  <w:style w:type="character" w:customStyle="1" w:styleId="HeaderChar1">
    <w:name w:val="Header Char1"/>
    <w:link w:val="Header"/>
    <w:rsid w:val="00872041"/>
    <w:rPr>
      <w:sz w:val="24"/>
      <w:lang w:val="en-GB" w:eastAsia="ar-SA"/>
    </w:rPr>
  </w:style>
  <w:style w:type="paragraph" w:styleId="Footer">
    <w:name w:val="footer"/>
    <w:basedOn w:val="Normal"/>
    <w:link w:val="FooterChar1"/>
    <w:uiPriority w:val="99"/>
    <w:rPr>
      <w:rFonts w:ascii="Arial" w:hAnsi="Arial"/>
    </w:rPr>
  </w:style>
  <w:style w:type="character" w:customStyle="1" w:styleId="FooterChar1">
    <w:name w:val="Footer Char1"/>
    <w:link w:val="Footer"/>
    <w:uiPriority w:val="99"/>
    <w:rPr>
      <w:sz w:val="20"/>
      <w:lang w:val="en-GB" w:eastAsia="en-US"/>
    </w:rPr>
  </w:style>
  <w:style w:type="paragraph" w:styleId="BodyText3">
    <w:name w:val="Body Text 3"/>
    <w:basedOn w:val="Normal"/>
    <w:link w:val="BodyText3Char1"/>
    <w:pPr>
      <w:spacing w:after="120"/>
    </w:pPr>
    <w:rPr>
      <w:rFonts w:ascii="Arial" w:hAnsi="Arial"/>
    </w:rPr>
  </w:style>
  <w:style w:type="character" w:customStyle="1" w:styleId="BodyText3Char1">
    <w:name w:val="Body Text 3 Char1"/>
    <w:link w:val="BodyText3"/>
    <w:rsid w:val="00872041"/>
    <w:rPr>
      <w:sz w:val="16"/>
      <w:szCs w:val="16"/>
      <w:lang w:val="en-GB" w:eastAsia="ar-SA"/>
    </w:rPr>
  </w:style>
  <w:style w:type="paragraph" w:customStyle="1" w:styleId="StyleRecommendationsLeft0cmFirstline0cm">
    <w:name w:val="Style Recommendations + Left:  0 cm First line:  0 cm"/>
    <w:basedOn w:val="Normal"/>
    <w:pPr>
      <w:spacing w:before="120"/>
      <w:jc w:val="both"/>
    </w:pPr>
    <w:rPr>
      <w:rFonts w:ascii="Arial" w:hAnsi="Arial"/>
    </w:rPr>
  </w:style>
  <w:style w:type="paragraph" w:customStyle="1" w:styleId="Recommendation">
    <w:name w:val="Recommendation"/>
    <w:basedOn w:val="Normal"/>
    <w:pPr>
      <w:spacing w:after="120"/>
      <w:jc w:val="both"/>
    </w:pPr>
    <w:rPr>
      <w:rFonts w:ascii="Arial" w:hAnsi="Arial" w:cs="Arial"/>
    </w:rPr>
  </w:style>
  <w:style w:type="paragraph" w:customStyle="1" w:styleId="CharCharCharCharChar">
    <w:name w:val="Char Char Char Char Char"/>
    <w:basedOn w:val="Normal"/>
    <w:pPr>
      <w:spacing w:after="160" w:line="240" w:lineRule="exact"/>
    </w:pPr>
    <w:rPr>
      <w:rFonts w:ascii="Verdana" w:hAnsi="Verdana"/>
      <w:sz w:val="20"/>
      <w:lang w:val="en-US"/>
    </w:rPr>
  </w:style>
  <w:style w:type="paragraph" w:customStyle="1" w:styleId="Bullets">
    <w:name w:val="• Bullets"/>
    <w:basedOn w:val="Normal"/>
    <w:pPr>
      <w:widowControl w:val="0"/>
      <w:autoSpaceDE w:val="0"/>
      <w:spacing w:after="28" w:line="240" w:lineRule="atLeast"/>
      <w:ind w:left="283" w:hanging="283"/>
      <w:textAlignment w:val="center"/>
    </w:pPr>
    <w:rPr>
      <w:rFonts w:ascii="MyriadPro-Light" w:hAnsi="MyriadPro-Light"/>
      <w:color w:val="000000"/>
      <w:sz w:val="16"/>
      <w:lang w:val="en-US"/>
    </w:rPr>
  </w:style>
  <w:style w:type="paragraph" w:customStyle="1" w:styleId="BodyB4Bullets">
    <w:name w:val="• Body B4 Bullets"/>
    <w:basedOn w:val="Normal"/>
    <w:pPr>
      <w:widowControl w:val="0"/>
      <w:autoSpaceDE w:val="0"/>
      <w:spacing w:after="57" w:line="240" w:lineRule="atLeast"/>
      <w:textAlignment w:val="center"/>
    </w:pPr>
    <w:rPr>
      <w:rFonts w:ascii="MyriadPro-Light" w:hAnsi="MyriadPro-Light"/>
      <w:color w:val="000000"/>
      <w:sz w:val="16"/>
      <w:lang w:val="en-US"/>
    </w:rPr>
  </w:style>
  <w:style w:type="paragraph" w:customStyle="1" w:styleId="Minister">
    <w:name w:val="Minister"/>
    <w:basedOn w:val="Normal"/>
    <w:pPr>
      <w:spacing w:after="240"/>
    </w:pPr>
    <w:rPr>
      <w:b/>
      <w:lang w:val="en-US"/>
    </w:rPr>
  </w:style>
  <w:style w:type="paragraph" w:customStyle="1" w:styleId="CharChar1">
    <w:name w:val="Char Char1"/>
    <w:basedOn w:val="Normal"/>
    <w:pPr>
      <w:spacing w:after="160" w:line="240" w:lineRule="exact"/>
    </w:pPr>
    <w:rPr>
      <w:rFonts w:ascii="Tahoma" w:hAnsi="Tahoma"/>
      <w:sz w:val="20"/>
      <w:lang w:val="en-US"/>
    </w:rPr>
  </w:style>
  <w:style w:type="paragraph" w:customStyle="1" w:styleId="CharChar">
    <w:name w:val="Char Char"/>
    <w:basedOn w:val="Normal"/>
    <w:pPr>
      <w:spacing w:after="160" w:line="240" w:lineRule="exact"/>
    </w:pPr>
    <w:rPr>
      <w:rFonts w:ascii="Tahoma" w:hAnsi="Tahoma"/>
      <w:sz w:val="20"/>
      <w:lang w:val="en-US"/>
    </w:rPr>
  </w:style>
  <w:style w:type="paragraph" w:customStyle="1" w:styleId="LtrBodyText">
    <w:name w:val="_LtrBody Text"/>
    <w:pPr>
      <w:suppressAutoHyphens/>
    </w:pPr>
    <w:rPr>
      <w:rFonts w:ascii="Arial" w:hAnsi="Arial"/>
      <w:sz w:val="22"/>
      <w:lang w:eastAsia="ar-SA"/>
    </w:rPr>
  </w:style>
  <w:style w:type="paragraph" w:styleId="BalloonText">
    <w:name w:val="Balloon Text"/>
    <w:basedOn w:val="Normal"/>
    <w:link w:val="BalloonTextChar1"/>
    <w:rPr>
      <w:rFonts w:ascii="Tahoma" w:hAnsi="Tahoma" w:cs="Tahoma"/>
      <w:sz w:val="16"/>
      <w:szCs w:val="16"/>
    </w:rPr>
  </w:style>
  <w:style w:type="character" w:customStyle="1" w:styleId="BalloonTextChar1">
    <w:name w:val="Balloon Text Char1"/>
    <w:link w:val="BalloonText"/>
    <w:rsid w:val="00872041"/>
    <w:rPr>
      <w:sz w:val="0"/>
      <w:szCs w:val="0"/>
      <w:lang w:val="en-GB" w:eastAsia="ar-SA"/>
    </w:rPr>
  </w:style>
  <w:style w:type="paragraph" w:customStyle="1" w:styleId="ColorfulList-Accent11">
    <w:name w:val="Colorful List - Accent 11"/>
    <w:basedOn w:val="Normal"/>
    <w:qFormat/>
    <w:pPr>
      <w:ind w:left="720"/>
    </w:pPr>
  </w:style>
  <w:style w:type="paragraph" w:styleId="CommentText">
    <w:name w:val="annotation text"/>
    <w:basedOn w:val="Normal"/>
    <w:link w:val="CommentTextChar1"/>
    <w:rPr>
      <w:sz w:val="20"/>
    </w:rPr>
  </w:style>
  <w:style w:type="character" w:customStyle="1" w:styleId="CommentTextChar1">
    <w:name w:val="Comment Text Char1"/>
    <w:link w:val="CommentText"/>
    <w:rsid w:val="00872041"/>
    <w:rPr>
      <w:lang w:val="en-GB" w:eastAsia="ar-SA"/>
    </w:rPr>
  </w:style>
  <w:style w:type="paragraph" w:styleId="CommentSubject">
    <w:name w:val="annotation subject"/>
    <w:basedOn w:val="CommentText"/>
    <w:next w:val="CommentText"/>
    <w:link w:val="CommentSubjectChar1"/>
    <w:rPr>
      <w:b/>
      <w:bCs/>
    </w:rPr>
  </w:style>
  <w:style w:type="character" w:customStyle="1" w:styleId="CommentSubjectChar1">
    <w:name w:val="Comment Subject Char1"/>
    <w:link w:val="CommentSubject"/>
    <w:rsid w:val="00872041"/>
    <w:rPr>
      <w:b/>
      <w:bCs/>
      <w:lang w:val="en-GB" w:eastAsia="ar-SA"/>
    </w:rPr>
  </w:style>
  <w:style w:type="paragraph" w:customStyle="1" w:styleId="WW-Default">
    <w:name w:val="WW-Default"/>
    <w:pPr>
      <w:suppressAutoHyphens/>
      <w:autoSpaceDE w:val="0"/>
    </w:pPr>
    <w:rPr>
      <w:rFonts w:ascii="Calibri" w:hAnsi="Calibri" w:cs="Calibri"/>
      <w:color w:val="000000"/>
      <w:sz w:val="24"/>
      <w:szCs w:val="24"/>
      <w:lang w:eastAsia="ar-SA"/>
    </w:rPr>
  </w:style>
  <w:style w:type="paragraph" w:customStyle="1" w:styleId="aParagraph">
    <w:name w:val="(a) Paragraph"/>
    <w:basedOn w:val="Normal"/>
    <w:pPr>
      <w:spacing w:after="240"/>
      <w:ind w:left="3403"/>
      <w:jc w:val="both"/>
    </w:pPr>
    <w:rPr>
      <w:rFonts w:ascii="Garamond" w:hAnsi="Garamond"/>
      <w:lang w:val="en-NZ"/>
    </w:rPr>
  </w:style>
  <w:style w:type="paragraph" w:customStyle="1" w:styleId="iParagraph">
    <w:name w:val="(i) Paragraph"/>
    <w:basedOn w:val="Normal"/>
    <w:pPr>
      <w:spacing w:after="240"/>
      <w:ind w:left="851" w:hanging="851"/>
      <w:jc w:val="both"/>
    </w:pPr>
    <w:rPr>
      <w:rFonts w:ascii="Garamond" w:hAnsi="Garamond"/>
      <w:lang w:val="en-NZ"/>
    </w:rPr>
  </w:style>
  <w:style w:type="paragraph" w:customStyle="1" w:styleId="1Paragraph">
    <w:name w:val="1. Paragraph"/>
    <w:basedOn w:val="Normal"/>
    <w:pPr>
      <w:spacing w:after="240"/>
      <w:ind w:left="851" w:hanging="851"/>
      <w:jc w:val="both"/>
    </w:pPr>
    <w:rPr>
      <w:rFonts w:ascii="Garamond" w:hAnsi="Garamond"/>
      <w:lang w:val="en-NZ"/>
    </w:rPr>
  </w:style>
  <w:style w:type="paragraph" w:customStyle="1" w:styleId="11Paragraph">
    <w:name w:val="1.1 Paragraph"/>
    <w:basedOn w:val="Normal"/>
    <w:pPr>
      <w:spacing w:after="240"/>
      <w:ind w:left="1702" w:hanging="851"/>
      <w:jc w:val="both"/>
    </w:pPr>
    <w:rPr>
      <w:rFonts w:ascii="Garamond" w:hAnsi="Garamond"/>
      <w:lang w:val="en-NZ"/>
    </w:rPr>
  </w:style>
  <w:style w:type="paragraph" w:customStyle="1" w:styleId="111Paragraph">
    <w:name w:val="1.1.1 Paragraph"/>
    <w:basedOn w:val="Normal"/>
    <w:pPr>
      <w:spacing w:after="240"/>
      <w:ind w:left="851" w:hanging="851"/>
      <w:jc w:val="both"/>
    </w:pPr>
    <w:rPr>
      <w:rFonts w:ascii="Garamond" w:hAnsi="Garamond"/>
      <w:lang w:val="en-NZ"/>
    </w:rPr>
  </w:style>
  <w:style w:type="paragraph" w:styleId="DocumentMap">
    <w:name w:val="Document Map"/>
    <w:basedOn w:val="Normal"/>
    <w:link w:val="DocumentMapChar"/>
    <w:pPr>
      <w:shd w:val="clear" w:color="auto" w:fill="000080"/>
    </w:pPr>
    <w:rPr>
      <w:rFonts w:ascii="Tahoma" w:hAnsi="Tahoma" w:cs="Tahoma"/>
      <w:sz w:val="20"/>
    </w:rPr>
  </w:style>
  <w:style w:type="character" w:customStyle="1" w:styleId="DocumentMapChar">
    <w:name w:val="Document Map Char"/>
    <w:link w:val="DocumentMap"/>
    <w:rsid w:val="00872041"/>
    <w:rPr>
      <w:sz w:val="0"/>
      <w:szCs w:val="0"/>
      <w:lang w:val="en-GB" w:eastAsia="ar-SA"/>
    </w:rPr>
  </w:style>
  <w:style w:type="paragraph" w:styleId="NormalWeb">
    <w:name w:val="Normal (Web)"/>
    <w:basedOn w:val="Normal"/>
    <w:uiPriority w:val="99"/>
    <w:pPr>
      <w:spacing w:before="280" w:after="240"/>
    </w:pPr>
    <w:rPr>
      <w:szCs w:val="24"/>
      <w:lang w:val="en-US"/>
    </w:rPr>
  </w:style>
  <w:style w:type="paragraph" w:styleId="EndnoteText">
    <w:name w:val="endnote text"/>
    <w:basedOn w:val="Normal"/>
    <w:link w:val="EndnoteTextChar1"/>
    <w:uiPriority w:val="99"/>
    <w:rPr>
      <w:sz w:val="20"/>
    </w:rPr>
  </w:style>
  <w:style w:type="character" w:customStyle="1" w:styleId="EndnoteTextChar1">
    <w:name w:val="Endnote Text Char1"/>
    <w:link w:val="EndnoteText"/>
    <w:uiPriority w:val="99"/>
    <w:rsid w:val="00872041"/>
    <w:rPr>
      <w:lang w:val="en-GB" w:eastAsia="ar-SA"/>
    </w:rPr>
  </w:style>
  <w:style w:type="paragraph" w:styleId="TOC4">
    <w:name w:val="toc 4"/>
    <w:basedOn w:val="Normal"/>
    <w:next w:val="Normal"/>
    <w:pPr>
      <w:ind w:left="720"/>
    </w:pPr>
    <w:rPr>
      <w:rFonts w:ascii="Arial" w:hAnsi="Arial"/>
      <w:szCs w:val="24"/>
      <w:lang w:val="en-US"/>
    </w:rPr>
  </w:style>
  <w:style w:type="paragraph" w:customStyle="1" w:styleId="CharChar1CharCharChar">
    <w:name w:val="Char Char1 Char Char Char"/>
    <w:basedOn w:val="Normal"/>
    <w:pPr>
      <w:spacing w:before="360" w:after="240" w:line="280" w:lineRule="atLeast"/>
      <w:jc w:val="both"/>
    </w:pPr>
    <w:rPr>
      <w:rFonts w:ascii="Verdana" w:hAnsi="Verdana"/>
      <w:b/>
      <w:caps/>
      <w:sz w:val="28"/>
      <w:szCs w:val="28"/>
      <w:lang w:val="en-US"/>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z-TopofForm">
    <w:name w:val="HTML Top of Form"/>
    <w:basedOn w:val="Normal"/>
    <w:next w:val="Normal"/>
    <w:link w:val="z-TopofFormChar1"/>
    <w:pPr>
      <w:pBdr>
        <w:bottom w:val="single" w:sz="4" w:space="1" w:color="000000"/>
      </w:pBdr>
      <w:suppressAutoHyphens w:val="0"/>
      <w:jc w:val="center"/>
    </w:pPr>
    <w:rPr>
      <w:rFonts w:ascii="Arial" w:hAnsi="Arial" w:cs="Arial"/>
      <w:vanish/>
      <w:sz w:val="16"/>
      <w:szCs w:val="16"/>
      <w:lang w:val="en-NZ"/>
    </w:rPr>
  </w:style>
  <w:style w:type="character" w:customStyle="1" w:styleId="z-TopofFormChar1">
    <w:name w:val="z-Top of Form Char1"/>
    <w:link w:val="z-TopofForm"/>
    <w:rsid w:val="00872041"/>
    <w:rPr>
      <w:rFonts w:ascii="Arial" w:hAnsi="Arial" w:cs="Arial"/>
      <w:vanish/>
      <w:sz w:val="16"/>
      <w:szCs w:val="16"/>
      <w:lang w:val="en-GB" w:eastAsia="ar-SA"/>
    </w:rPr>
  </w:style>
  <w:style w:type="paragraph" w:styleId="z-BottomofForm">
    <w:name w:val="HTML Bottom of Form"/>
    <w:basedOn w:val="Normal"/>
    <w:next w:val="Normal"/>
    <w:link w:val="z-BottomofFormChar1"/>
    <w:pPr>
      <w:pBdr>
        <w:top w:val="single" w:sz="4" w:space="1" w:color="000000"/>
      </w:pBdr>
      <w:suppressAutoHyphens w:val="0"/>
      <w:jc w:val="center"/>
    </w:pPr>
    <w:rPr>
      <w:rFonts w:ascii="Arial" w:hAnsi="Arial" w:cs="Arial"/>
      <w:vanish/>
      <w:sz w:val="16"/>
      <w:szCs w:val="16"/>
      <w:lang w:val="en-NZ"/>
    </w:rPr>
  </w:style>
  <w:style w:type="character" w:customStyle="1" w:styleId="z-BottomofFormChar1">
    <w:name w:val="z-Bottom of Form Char1"/>
    <w:link w:val="z-BottomofForm"/>
    <w:rsid w:val="00872041"/>
    <w:rPr>
      <w:rFonts w:ascii="Arial" w:hAnsi="Arial" w:cs="Arial"/>
      <w:vanish/>
      <w:sz w:val="16"/>
      <w:szCs w:val="16"/>
      <w:lang w:val="en-GB" w:eastAsia="ar-SA"/>
    </w:rPr>
  </w:style>
  <w:style w:type="paragraph" w:customStyle="1" w:styleId="WW-Default1">
    <w:name w:val="WW-Default1"/>
    <w:pPr>
      <w:suppressAutoHyphens/>
      <w:autoSpaceDE w:val="0"/>
    </w:pPr>
    <w:rPr>
      <w:rFonts w:ascii="Arial" w:hAnsi="Arial" w:cs="Arial"/>
      <w:color w:val="000000"/>
      <w:sz w:val="24"/>
      <w:szCs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12B46"/>
    <w:pPr>
      <w:ind w:left="720"/>
    </w:pPr>
  </w:style>
  <w:style w:type="paragraph" w:styleId="Revision">
    <w:name w:val="Revision"/>
    <w:hidden/>
    <w:uiPriority w:val="99"/>
    <w:semiHidden/>
    <w:rsid w:val="00471EB2"/>
    <w:rPr>
      <w:sz w:val="24"/>
      <w:lang w:val="en-GB" w:eastAsia="ar-SA"/>
    </w:rPr>
  </w:style>
  <w:style w:type="character" w:customStyle="1" w:styleId="st1">
    <w:name w:val="st1"/>
    <w:rsid w:val="00E12151"/>
  </w:style>
  <w:style w:type="character" w:customStyle="1" w:styleId="label">
    <w:name w:val="label"/>
    <w:basedOn w:val="DefaultParagraphFont"/>
    <w:rsid w:val="00180F8F"/>
  </w:style>
  <w:style w:type="character" w:customStyle="1" w:styleId="spc1">
    <w:name w:val="spc1"/>
    <w:basedOn w:val="DefaultParagraphFont"/>
    <w:rsid w:val="00180F8F"/>
    <w:rPr>
      <w:strike w:val="0"/>
      <w:dstrike w:val="0"/>
      <w:u w:val="none"/>
      <w:effect w:val="none"/>
    </w:rPr>
  </w:style>
  <w:style w:type="paragraph" w:customStyle="1" w:styleId="labelled4">
    <w:name w:val="labelled4"/>
    <w:basedOn w:val="Normal"/>
    <w:rsid w:val="00180F8F"/>
    <w:pPr>
      <w:suppressAutoHyphens w:val="0"/>
      <w:spacing w:line="288" w:lineRule="atLeast"/>
      <w:ind w:right="240"/>
    </w:pPr>
    <w:rPr>
      <w:color w:val="000000"/>
      <w:szCs w:val="24"/>
      <w:lang w:val="en-NZ" w:eastAsia="en-NZ"/>
    </w:rPr>
  </w:style>
  <w:style w:type="character" w:customStyle="1" w:styleId="Mention1">
    <w:name w:val="Mention1"/>
    <w:basedOn w:val="DefaultParagraphFont"/>
    <w:uiPriority w:val="99"/>
    <w:semiHidden/>
    <w:unhideWhenUsed/>
    <w:rsid w:val="00A42D86"/>
    <w:rPr>
      <w:color w:val="2B579A"/>
      <w:shd w:val="clear" w:color="auto" w:fill="E6E6E6"/>
    </w:rPr>
  </w:style>
  <w:style w:type="paragraph" w:styleId="ListBullet">
    <w:name w:val="List Bullet"/>
    <w:basedOn w:val="Normal"/>
    <w:unhideWhenUsed/>
    <w:rsid w:val="009F2399"/>
    <w:pPr>
      <w:numPr>
        <w:numId w:val="3"/>
      </w:numPr>
      <w:contextualSpacing/>
    </w:pPr>
  </w:style>
  <w:style w:type="character" w:customStyle="1" w:styleId="UnresolvedMention1">
    <w:name w:val="Unresolved Mention1"/>
    <w:basedOn w:val="DefaultParagraphFont"/>
    <w:uiPriority w:val="99"/>
    <w:semiHidden/>
    <w:unhideWhenUsed/>
    <w:rsid w:val="00BB6D48"/>
    <w:rPr>
      <w:color w:val="808080"/>
      <w:shd w:val="clear" w:color="auto" w:fill="E6E6E6"/>
    </w:rPr>
  </w:style>
  <w:style w:type="character" w:customStyle="1" w:styleId="y0nh2b">
    <w:name w:val="y0nh2b"/>
    <w:basedOn w:val="DefaultParagraphFont"/>
    <w:rsid w:val="00C82606"/>
  </w:style>
  <w:style w:type="character" w:customStyle="1" w:styleId="UnresolvedMention2">
    <w:name w:val="Unresolved Mention2"/>
    <w:basedOn w:val="DefaultParagraphFont"/>
    <w:uiPriority w:val="99"/>
    <w:semiHidden/>
    <w:unhideWhenUsed/>
    <w:rsid w:val="0076495D"/>
    <w:rPr>
      <w:color w:val="605E5C"/>
      <w:shd w:val="clear" w:color="auto" w:fill="E1DFDD"/>
    </w:rPr>
  </w:style>
  <w:style w:type="character" w:customStyle="1" w:styleId="ListParagraphChar">
    <w:name w:val="List Paragraph Char"/>
    <w:basedOn w:val="DefaultParagraphFont"/>
    <w:link w:val="ListParagraph"/>
    <w:uiPriority w:val="34"/>
    <w:rsid w:val="00FE1C36"/>
    <w:rPr>
      <w:sz w:val="24"/>
      <w:lang w:val="en-GB" w:eastAsia="ar-SA"/>
    </w:rPr>
  </w:style>
  <w:style w:type="character" w:customStyle="1" w:styleId="UnresolvedMention3">
    <w:name w:val="Unresolved Mention3"/>
    <w:basedOn w:val="DefaultParagraphFont"/>
    <w:uiPriority w:val="99"/>
    <w:semiHidden/>
    <w:unhideWhenUsed/>
    <w:rsid w:val="00ED71CE"/>
    <w:rPr>
      <w:color w:val="605E5C"/>
      <w:shd w:val="clear" w:color="auto" w:fill="E1DFDD"/>
    </w:rPr>
  </w:style>
  <w:style w:type="character" w:customStyle="1" w:styleId="ilfuvd">
    <w:name w:val="ilfuvd"/>
    <w:basedOn w:val="DefaultParagraphFont"/>
    <w:rsid w:val="00067C15"/>
  </w:style>
  <w:style w:type="table" w:customStyle="1" w:styleId="TableGrid1">
    <w:name w:val="Table Grid1"/>
    <w:basedOn w:val="TableNormal"/>
    <w:next w:val="TableGrid"/>
    <w:uiPriority w:val="39"/>
    <w:rsid w:val="003847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35F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C35F09"/>
    <w:rPr>
      <w:color w:val="605E5C"/>
      <w:shd w:val="clear" w:color="auto" w:fill="E1DFDD"/>
    </w:rPr>
  </w:style>
  <w:style w:type="table" w:customStyle="1" w:styleId="TableGrid3">
    <w:name w:val="Table Grid3"/>
    <w:basedOn w:val="TableNormal"/>
    <w:next w:val="TableGrid"/>
    <w:uiPriority w:val="39"/>
    <w:rsid w:val="001C5C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E39C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960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10D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AF376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07A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BE136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627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wd">
    <w:name w:val="_dwd"/>
    <w:basedOn w:val="DefaultParagraphFont"/>
    <w:rsid w:val="002D2F7E"/>
  </w:style>
  <w:style w:type="character" w:customStyle="1" w:styleId="UnresolvedMention5">
    <w:name w:val="Unresolved Mention5"/>
    <w:basedOn w:val="DefaultParagraphFont"/>
    <w:uiPriority w:val="99"/>
    <w:semiHidden/>
    <w:unhideWhenUsed/>
    <w:rsid w:val="00BF450F"/>
    <w:rPr>
      <w:color w:val="605E5C"/>
      <w:shd w:val="clear" w:color="auto" w:fill="E1DFDD"/>
    </w:rPr>
  </w:style>
  <w:style w:type="paragraph" w:customStyle="1" w:styleId="TableParagraph">
    <w:name w:val="Table Paragraph"/>
    <w:basedOn w:val="Normal"/>
    <w:uiPriority w:val="1"/>
    <w:qFormat/>
    <w:rsid w:val="004327D1"/>
    <w:pPr>
      <w:widowControl w:val="0"/>
      <w:suppressAutoHyphens w:val="0"/>
      <w:autoSpaceDE w:val="0"/>
      <w:autoSpaceDN w:val="0"/>
      <w:jc w:val="right"/>
    </w:pPr>
    <w:rPr>
      <w:rFonts w:ascii="Arial" w:eastAsia="Arial" w:hAnsi="Arial" w:cs="Arial"/>
      <w:sz w:val="22"/>
      <w:szCs w:val="22"/>
      <w:lang w:val="en-US" w:eastAsia="en-US"/>
    </w:rPr>
  </w:style>
  <w:style w:type="table" w:customStyle="1" w:styleId="TableGrid11">
    <w:name w:val="Table Grid11"/>
    <w:basedOn w:val="TableNormal"/>
    <w:next w:val="TableGrid"/>
    <w:uiPriority w:val="39"/>
    <w:rsid w:val="001D2A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B12DA"/>
    <w:rPr>
      <w:color w:val="605E5C"/>
      <w:shd w:val="clear" w:color="auto" w:fill="E1DFDD"/>
    </w:rPr>
  </w:style>
  <w:style w:type="character" w:customStyle="1" w:styleId="postedby">
    <w:name w:val="postedby"/>
    <w:rsid w:val="007A20BD"/>
  </w:style>
  <w:style w:type="paragraph" w:customStyle="1" w:styleId="floatrightcaption220">
    <w:name w:val="floatrightcaption220"/>
    <w:basedOn w:val="Normal"/>
    <w:rsid w:val="007A20BD"/>
    <w:pPr>
      <w:suppressAutoHyphens w:val="0"/>
      <w:spacing w:before="100" w:beforeAutospacing="1" w:after="100" w:afterAutospacing="1"/>
    </w:pPr>
    <w:rPr>
      <w:szCs w:val="24"/>
      <w:lang w:val="en-NZ" w:eastAsia="en-NZ"/>
    </w:rPr>
  </w:style>
  <w:style w:type="character" w:customStyle="1" w:styleId="snippetresultlabel">
    <w:name w:val="snippetresultlabel"/>
    <w:rsid w:val="007A20BD"/>
  </w:style>
  <w:style w:type="paragraph" w:customStyle="1" w:styleId="text5">
    <w:name w:val="text5"/>
    <w:basedOn w:val="Normal"/>
    <w:rsid w:val="007A20BD"/>
    <w:pPr>
      <w:suppressAutoHyphens w:val="0"/>
      <w:spacing w:before="83" w:after="216" w:line="288" w:lineRule="atLeast"/>
    </w:pPr>
    <w:rPr>
      <w:szCs w:val="24"/>
      <w:lang w:val="en-NZ" w:eastAsia="en-NZ"/>
    </w:rPr>
  </w:style>
  <w:style w:type="paragraph" w:customStyle="1" w:styleId="Pa29">
    <w:name w:val="Pa29"/>
    <w:basedOn w:val="Normal"/>
    <w:next w:val="Normal"/>
    <w:uiPriority w:val="99"/>
    <w:rsid w:val="007A20BD"/>
    <w:pPr>
      <w:suppressAutoHyphens w:val="0"/>
      <w:autoSpaceDE w:val="0"/>
      <w:autoSpaceDN w:val="0"/>
      <w:adjustRightInd w:val="0"/>
      <w:spacing w:line="241" w:lineRule="atLeast"/>
    </w:pPr>
    <w:rPr>
      <w:rFonts w:ascii="Cronos Pro Light Subhead" w:eastAsiaTheme="minorHAnsi" w:hAnsi="Cronos Pro Light Subhead" w:cstheme="minorBidi"/>
      <w:szCs w:val="24"/>
      <w:lang w:val="en-NZ" w:eastAsia="en-US"/>
    </w:rPr>
  </w:style>
  <w:style w:type="character" w:customStyle="1" w:styleId="A12">
    <w:name w:val="A12"/>
    <w:uiPriority w:val="99"/>
    <w:rsid w:val="007A20BD"/>
    <w:rPr>
      <w:rFonts w:ascii="Minion Pro Capt" w:hAnsi="Minion Pro Capt" w:cs="Minion Pro Capt"/>
      <w:color w:val="000000"/>
      <w:sz w:val="12"/>
      <w:szCs w:val="12"/>
    </w:rPr>
  </w:style>
  <w:style w:type="character" w:customStyle="1" w:styleId="A0">
    <w:name w:val="A0"/>
    <w:uiPriority w:val="99"/>
    <w:rsid w:val="007A20BD"/>
    <w:rPr>
      <w:rFonts w:ascii="Minion Pro" w:hAnsi="Minion Pro" w:cs="Minion Pro"/>
      <w:color w:val="000000"/>
    </w:rPr>
  </w:style>
  <w:style w:type="paragraph" w:customStyle="1" w:styleId="inline-details">
    <w:name w:val="inline-details"/>
    <w:basedOn w:val="Normal"/>
    <w:rsid w:val="007A20BD"/>
    <w:pPr>
      <w:suppressAutoHyphens w:val="0"/>
      <w:spacing w:after="150"/>
    </w:pPr>
    <w:rPr>
      <w:szCs w:val="24"/>
      <w:lang w:val="en-NZ" w:eastAsia="en-NZ"/>
    </w:rPr>
  </w:style>
  <w:style w:type="paragraph" w:customStyle="1" w:styleId="page-description">
    <w:name w:val="page-description"/>
    <w:basedOn w:val="Normal"/>
    <w:rsid w:val="007A20BD"/>
    <w:pPr>
      <w:suppressAutoHyphens w:val="0"/>
      <w:spacing w:after="150"/>
    </w:pPr>
    <w:rPr>
      <w:szCs w:val="24"/>
      <w:lang w:val="en-NZ" w:eastAsia="en-NZ"/>
    </w:rPr>
  </w:style>
  <w:style w:type="paragraph" w:customStyle="1" w:styleId="TableText">
    <w:name w:val="TableText"/>
    <w:basedOn w:val="Normal"/>
    <w:link w:val="TableTextChar"/>
    <w:qFormat/>
    <w:rsid w:val="007A20BD"/>
    <w:pPr>
      <w:suppressAutoHyphens w:val="0"/>
      <w:spacing w:before="60" w:after="60"/>
    </w:pPr>
    <w:rPr>
      <w:rFonts w:ascii="Arial" w:hAnsi="Arial"/>
      <w:sz w:val="18"/>
      <w:lang w:val="en-NZ" w:eastAsia="en-GB"/>
    </w:rPr>
  </w:style>
  <w:style w:type="character" w:customStyle="1" w:styleId="TableTextChar">
    <w:name w:val="TableText Char"/>
    <w:link w:val="TableText"/>
    <w:rsid w:val="007A20BD"/>
    <w:rPr>
      <w:rFonts w:ascii="Arial" w:hAnsi="Arial"/>
      <w:sz w:val="18"/>
      <w:lang w:eastAsia="en-GB"/>
    </w:rPr>
  </w:style>
  <w:style w:type="paragraph" w:customStyle="1" w:styleId="date1">
    <w:name w:val="date1"/>
    <w:basedOn w:val="Normal"/>
    <w:rsid w:val="007A20BD"/>
    <w:pPr>
      <w:suppressAutoHyphens w:val="0"/>
      <w:spacing w:before="100" w:beforeAutospacing="1" w:after="240"/>
    </w:pPr>
    <w:rPr>
      <w:b/>
      <w:bCs/>
      <w:caps/>
      <w:color w:val="005FA8"/>
      <w:szCs w:val="24"/>
      <w:lang w:val="en-NZ" w:eastAsia="en-NZ"/>
    </w:rPr>
  </w:style>
  <w:style w:type="character" w:customStyle="1" w:styleId="date-display-single">
    <w:name w:val="date-display-single"/>
    <w:basedOn w:val="DefaultParagraphFont"/>
    <w:rsid w:val="007A20BD"/>
  </w:style>
  <w:style w:type="paragraph" w:customStyle="1" w:styleId="Pa3">
    <w:name w:val="Pa3"/>
    <w:basedOn w:val="Default"/>
    <w:next w:val="Default"/>
    <w:uiPriority w:val="99"/>
    <w:rsid w:val="007A20BD"/>
    <w:pPr>
      <w:spacing w:line="191" w:lineRule="atLeast"/>
    </w:pPr>
    <w:rPr>
      <w:rFonts w:ascii="TheSans OT3 Light" w:hAnsi="TheSans OT3 Light" w:cs="Times New Roman"/>
      <w:color w:val="auto"/>
    </w:rPr>
  </w:style>
  <w:style w:type="character" w:styleId="HTMLDefinition">
    <w:name w:val="HTML Definition"/>
    <w:basedOn w:val="DefaultParagraphFont"/>
    <w:uiPriority w:val="99"/>
    <w:semiHidden/>
    <w:unhideWhenUsed/>
    <w:rsid w:val="007A20BD"/>
    <w:rPr>
      <w:i/>
      <w:iCs/>
    </w:rPr>
  </w:style>
  <w:style w:type="paragraph" w:customStyle="1" w:styleId="Bullet">
    <w:name w:val="Bullet"/>
    <w:basedOn w:val="Normal"/>
    <w:qFormat/>
    <w:rsid w:val="007A20BD"/>
    <w:pPr>
      <w:numPr>
        <w:numId w:val="5"/>
      </w:numPr>
      <w:tabs>
        <w:tab w:val="clear" w:pos="284"/>
      </w:tabs>
      <w:suppressAutoHyphens w:val="0"/>
      <w:spacing w:before="90"/>
    </w:pPr>
    <w:rPr>
      <w:rFonts w:ascii="Segoe UI" w:hAnsi="Segoe UI"/>
      <w:sz w:val="21"/>
      <w:lang w:val="en-NZ" w:eastAsia="en-GB"/>
    </w:rPr>
  </w:style>
  <w:style w:type="character" w:customStyle="1" w:styleId="UnresolvedMention6">
    <w:name w:val="Unresolved Mention6"/>
    <w:basedOn w:val="DefaultParagraphFont"/>
    <w:uiPriority w:val="99"/>
    <w:semiHidden/>
    <w:unhideWhenUsed/>
    <w:rsid w:val="007A20BD"/>
    <w:rPr>
      <w:color w:val="605E5C"/>
      <w:shd w:val="clear" w:color="auto" w:fill="E1DFDD"/>
    </w:rPr>
  </w:style>
  <w:style w:type="character" w:customStyle="1" w:styleId="UnresolvedMention7">
    <w:name w:val="Unresolved Mention7"/>
    <w:basedOn w:val="DefaultParagraphFont"/>
    <w:uiPriority w:val="99"/>
    <w:semiHidden/>
    <w:unhideWhenUsed/>
    <w:rsid w:val="007A20BD"/>
    <w:rPr>
      <w:color w:val="605E5C"/>
      <w:shd w:val="clear" w:color="auto" w:fill="E1DFDD"/>
    </w:rPr>
  </w:style>
  <w:style w:type="character" w:customStyle="1" w:styleId="Heading4Char">
    <w:name w:val="Heading 4 Char"/>
    <w:basedOn w:val="DefaultParagraphFont"/>
    <w:link w:val="Heading4"/>
    <w:uiPriority w:val="9"/>
    <w:semiHidden/>
    <w:rsid w:val="000E60BC"/>
    <w:rPr>
      <w:rFonts w:eastAsiaTheme="majorEastAsia" w:cstheme="majorBidi"/>
      <w:i/>
      <w:iCs/>
      <w:color w:val="365F91" w:themeColor="accent1" w:themeShade="BF"/>
      <w:sz w:val="24"/>
      <w:lang w:val="en-GB" w:eastAsia="ar-SA"/>
    </w:rPr>
  </w:style>
  <w:style w:type="character" w:customStyle="1" w:styleId="Heading5Char">
    <w:name w:val="Heading 5 Char"/>
    <w:basedOn w:val="DefaultParagraphFont"/>
    <w:link w:val="Heading5"/>
    <w:uiPriority w:val="9"/>
    <w:semiHidden/>
    <w:rsid w:val="000E60BC"/>
    <w:rPr>
      <w:rFonts w:eastAsiaTheme="majorEastAsia" w:cstheme="majorBidi"/>
      <w:color w:val="365F91" w:themeColor="accent1" w:themeShade="BF"/>
      <w:sz w:val="24"/>
      <w:lang w:val="en-GB" w:eastAsia="ar-SA"/>
    </w:rPr>
  </w:style>
  <w:style w:type="character" w:customStyle="1" w:styleId="Heading6Char">
    <w:name w:val="Heading 6 Char"/>
    <w:basedOn w:val="DefaultParagraphFont"/>
    <w:link w:val="Heading6"/>
    <w:uiPriority w:val="9"/>
    <w:semiHidden/>
    <w:rsid w:val="000E60BC"/>
    <w:rPr>
      <w:rFonts w:eastAsiaTheme="majorEastAsia" w:cstheme="majorBidi"/>
      <w:i/>
      <w:iCs/>
      <w:color w:val="595959" w:themeColor="text1" w:themeTint="A6"/>
      <w:sz w:val="24"/>
      <w:lang w:val="en-GB" w:eastAsia="ar-SA"/>
    </w:rPr>
  </w:style>
  <w:style w:type="character" w:customStyle="1" w:styleId="Heading7Char">
    <w:name w:val="Heading 7 Char"/>
    <w:basedOn w:val="DefaultParagraphFont"/>
    <w:link w:val="Heading7"/>
    <w:uiPriority w:val="9"/>
    <w:semiHidden/>
    <w:rsid w:val="000E60BC"/>
    <w:rPr>
      <w:rFonts w:eastAsiaTheme="majorEastAsia" w:cstheme="majorBidi"/>
      <w:color w:val="595959" w:themeColor="text1" w:themeTint="A6"/>
      <w:sz w:val="24"/>
      <w:lang w:val="en-GB" w:eastAsia="ar-SA"/>
    </w:rPr>
  </w:style>
  <w:style w:type="character" w:customStyle="1" w:styleId="Heading8Char">
    <w:name w:val="Heading 8 Char"/>
    <w:basedOn w:val="DefaultParagraphFont"/>
    <w:link w:val="Heading8"/>
    <w:uiPriority w:val="9"/>
    <w:semiHidden/>
    <w:rsid w:val="000E60BC"/>
    <w:rPr>
      <w:rFonts w:eastAsiaTheme="majorEastAsia" w:cstheme="majorBidi"/>
      <w:i/>
      <w:iCs/>
      <w:color w:val="272727" w:themeColor="text1" w:themeTint="D8"/>
      <w:sz w:val="24"/>
      <w:lang w:val="en-GB" w:eastAsia="ar-SA"/>
    </w:rPr>
  </w:style>
  <w:style w:type="character" w:customStyle="1" w:styleId="Heading9Char">
    <w:name w:val="Heading 9 Char"/>
    <w:basedOn w:val="DefaultParagraphFont"/>
    <w:link w:val="Heading9"/>
    <w:uiPriority w:val="9"/>
    <w:semiHidden/>
    <w:rsid w:val="000E60BC"/>
    <w:rPr>
      <w:rFonts w:eastAsiaTheme="majorEastAsia" w:cstheme="majorBidi"/>
      <w:color w:val="272727" w:themeColor="text1" w:themeTint="D8"/>
      <w:sz w:val="24"/>
      <w:lang w:val="en-GB" w:eastAsia="ar-SA"/>
    </w:rPr>
  </w:style>
  <w:style w:type="paragraph" w:styleId="Quote">
    <w:name w:val="Quote"/>
    <w:basedOn w:val="Normal"/>
    <w:next w:val="Normal"/>
    <w:link w:val="QuoteChar"/>
    <w:uiPriority w:val="29"/>
    <w:qFormat/>
    <w:rsid w:val="000E60BC"/>
    <w:pPr>
      <w:spacing w:before="160"/>
      <w:jc w:val="center"/>
    </w:pPr>
    <w:rPr>
      <w:i/>
      <w:iCs/>
      <w:color w:val="404040" w:themeColor="text1" w:themeTint="BF"/>
    </w:rPr>
  </w:style>
  <w:style w:type="character" w:customStyle="1" w:styleId="QuoteChar">
    <w:name w:val="Quote Char"/>
    <w:basedOn w:val="DefaultParagraphFont"/>
    <w:link w:val="Quote"/>
    <w:uiPriority w:val="29"/>
    <w:rsid w:val="000E60BC"/>
    <w:rPr>
      <w:i/>
      <w:iCs/>
      <w:color w:val="404040" w:themeColor="text1" w:themeTint="BF"/>
      <w:sz w:val="24"/>
      <w:lang w:val="en-GB" w:eastAsia="ar-SA"/>
    </w:rPr>
  </w:style>
  <w:style w:type="character" w:styleId="IntenseEmphasis">
    <w:name w:val="Intense Emphasis"/>
    <w:basedOn w:val="DefaultParagraphFont"/>
    <w:uiPriority w:val="21"/>
    <w:qFormat/>
    <w:rsid w:val="000E60BC"/>
    <w:rPr>
      <w:i/>
      <w:iCs/>
      <w:color w:val="365F91" w:themeColor="accent1" w:themeShade="BF"/>
    </w:rPr>
  </w:style>
  <w:style w:type="paragraph" w:styleId="IntenseQuote">
    <w:name w:val="Intense Quote"/>
    <w:basedOn w:val="Normal"/>
    <w:next w:val="Normal"/>
    <w:link w:val="IntenseQuoteChar"/>
    <w:uiPriority w:val="30"/>
    <w:qFormat/>
    <w:rsid w:val="000E60B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E60BC"/>
    <w:rPr>
      <w:i/>
      <w:iCs/>
      <w:color w:val="365F91" w:themeColor="accent1" w:themeShade="BF"/>
      <w:sz w:val="24"/>
      <w:lang w:val="en-GB" w:eastAsia="ar-SA"/>
    </w:rPr>
  </w:style>
  <w:style w:type="character" w:styleId="IntenseReference">
    <w:name w:val="Intense Reference"/>
    <w:basedOn w:val="DefaultParagraphFont"/>
    <w:uiPriority w:val="32"/>
    <w:qFormat/>
    <w:rsid w:val="000E60BC"/>
    <w:rPr>
      <w:b/>
      <w:bCs/>
      <w:smallCaps/>
      <w:color w:val="365F91" w:themeColor="accent1" w:themeShade="BF"/>
      <w:spacing w:val="5"/>
    </w:rPr>
  </w:style>
  <w:style w:type="character" w:customStyle="1" w:styleId="UnresolvedMention8">
    <w:name w:val="Unresolved Mention8"/>
    <w:basedOn w:val="DefaultParagraphFont"/>
    <w:uiPriority w:val="99"/>
    <w:semiHidden/>
    <w:unhideWhenUsed/>
    <w:rsid w:val="000E6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3168">
      <w:bodyDiv w:val="1"/>
      <w:marLeft w:val="0"/>
      <w:marRight w:val="0"/>
      <w:marTop w:val="0"/>
      <w:marBottom w:val="0"/>
      <w:divBdr>
        <w:top w:val="none" w:sz="0" w:space="0" w:color="auto"/>
        <w:left w:val="none" w:sz="0" w:space="0" w:color="auto"/>
        <w:bottom w:val="none" w:sz="0" w:space="0" w:color="auto"/>
        <w:right w:val="none" w:sz="0" w:space="0" w:color="auto"/>
      </w:divBdr>
    </w:div>
    <w:div w:id="52853006">
      <w:bodyDiv w:val="1"/>
      <w:marLeft w:val="0"/>
      <w:marRight w:val="0"/>
      <w:marTop w:val="0"/>
      <w:marBottom w:val="0"/>
      <w:divBdr>
        <w:top w:val="none" w:sz="0" w:space="0" w:color="auto"/>
        <w:left w:val="none" w:sz="0" w:space="0" w:color="auto"/>
        <w:bottom w:val="none" w:sz="0" w:space="0" w:color="auto"/>
        <w:right w:val="none" w:sz="0" w:space="0" w:color="auto"/>
      </w:divBdr>
    </w:div>
    <w:div w:id="68120864">
      <w:bodyDiv w:val="1"/>
      <w:marLeft w:val="0"/>
      <w:marRight w:val="0"/>
      <w:marTop w:val="0"/>
      <w:marBottom w:val="0"/>
      <w:divBdr>
        <w:top w:val="none" w:sz="0" w:space="0" w:color="auto"/>
        <w:left w:val="none" w:sz="0" w:space="0" w:color="auto"/>
        <w:bottom w:val="none" w:sz="0" w:space="0" w:color="auto"/>
        <w:right w:val="none" w:sz="0" w:space="0" w:color="auto"/>
      </w:divBdr>
    </w:div>
    <w:div w:id="74939128">
      <w:bodyDiv w:val="1"/>
      <w:marLeft w:val="0"/>
      <w:marRight w:val="0"/>
      <w:marTop w:val="0"/>
      <w:marBottom w:val="0"/>
      <w:divBdr>
        <w:top w:val="none" w:sz="0" w:space="0" w:color="auto"/>
        <w:left w:val="none" w:sz="0" w:space="0" w:color="auto"/>
        <w:bottom w:val="none" w:sz="0" w:space="0" w:color="auto"/>
        <w:right w:val="none" w:sz="0" w:space="0" w:color="auto"/>
      </w:divBdr>
    </w:div>
    <w:div w:id="85078937">
      <w:bodyDiv w:val="1"/>
      <w:marLeft w:val="0"/>
      <w:marRight w:val="0"/>
      <w:marTop w:val="0"/>
      <w:marBottom w:val="0"/>
      <w:divBdr>
        <w:top w:val="none" w:sz="0" w:space="0" w:color="auto"/>
        <w:left w:val="none" w:sz="0" w:space="0" w:color="auto"/>
        <w:bottom w:val="none" w:sz="0" w:space="0" w:color="auto"/>
        <w:right w:val="none" w:sz="0" w:space="0" w:color="auto"/>
      </w:divBdr>
    </w:div>
    <w:div w:id="87774178">
      <w:bodyDiv w:val="1"/>
      <w:marLeft w:val="0"/>
      <w:marRight w:val="0"/>
      <w:marTop w:val="0"/>
      <w:marBottom w:val="0"/>
      <w:divBdr>
        <w:top w:val="none" w:sz="0" w:space="0" w:color="auto"/>
        <w:left w:val="none" w:sz="0" w:space="0" w:color="auto"/>
        <w:bottom w:val="none" w:sz="0" w:space="0" w:color="auto"/>
        <w:right w:val="none" w:sz="0" w:space="0" w:color="auto"/>
      </w:divBdr>
    </w:div>
    <w:div w:id="106855230">
      <w:bodyDiv w:val="1"/>
      <w:marLeft w:val="0"/>
      <w:marRight w:val="0"/>
      <w:marTop w:val="0"/>
      <w:marBottom w:val="0"/>
      <w:divBdr>
        <w:top w:val="none" w:sz="0" w:space="0" w:color="auto"/>
        <w:left w:val="none" w:sz="0" w:space="0" w:color="auto"/>
        <w:bottom w:val="none" w:sz="0" w:space="0" w:color="auto"/>
        <w:right w:val="none" w:sz="0" w:space="0" w:color="auto"/>
      </w:divBdr>
    </w:div>
    <w:div w:id="147019785">
      <w:bodyDiv w:val="1"/>
      <w:marLeft w:val="0"/>
      <w:marRight w:val="0"/>
      <w:marTop w:val="0"/>
      <w:marBottom w:val="0"/>
      <w:divBdr>
        <w:top w:val="none" w:sz="0" w:space="0" w:color="auto"/>
        <w:left w:val="none" w:sz="0" w:space="0" w:color="auto"/>
        <w:bottom w:val="none" w:sz="0" w:space="0" w:color="auto"/>
        <w:right w:val="none" w:sz="0" w:space="0" w:color="auto"/>
      </w:divBdr>
    </w:div>
    <w:div w:id="150954110">
      <w:bodyDiv w:val="1"/>
      <w:marLeft w:val="0"/>
      <w:marRight w:val="0"/>
      <w:marTop w:val="0"/>
      <w:marBottom w:val="0"/>
      <w:divBdr>
        <w:top w:val="none" w:sz="0" w:space="0" w:color="auto"/>
        <w:left w:val="none" w:sz="0" w:space="0" w:color="auto"/>
        <w:bottom w:val="none" w:sz="0" w:space="0" w:color="auto"/>
        <w:right w:val="none" w:sz="0" w:space="0" w:color="auto"/>
      </w:divBdr>
    </w:div>
    <w:div w:id="153840043">
      <w:bodyDiv w:val="1"/>
      <w:marLeft w:val="0"/>
      <w:marRight w:val="0"/>
      <w:marTop w:val="0"/>
      <w:marBottom w:val="0"/>
      <w:divBdr>
        <w:top w:val="none" w:sz="0" w:space="0" w:color="auto"/>
        <w:left w:val="none" w:sz="0" w:space="0" w:color="auto"/>
        <w:bottom w:val="none" w:sz="0" w:space="0" w:color="auto"/>
        <w:right w:val="none" w:sz="0" w:space="0" w:color="auto"/>
      </w:divBdr>
    </w:div>
    <w:div w:id="163279865">
      <w:bodyDiv w:val="1"/>
      <w:marLeft w:val="0"/>
      <w:marRight w:val="0"/>
      <w:marTop w:val="0"/>
      <w:marBottom w:val="0"/>
      <w:divBdr>
        <w:top w:val="none" w:sz="0" w:space="0" w:color="auto"/>
        <w:left w:val="none" w:sz="0" w:space="0" w:color="auto"/>
        <w:bottom w:val="none" w:sz="0" w:space="0" w:color="auto"/>
        <w:right w:val="none" w:sz="0" w:space="0" w:color="auto"/>
      </w:divBdr>
    </w:div>
    <w:div w:id="164132309">
      <w:bodyDiv w:val="1"/>
      <w:marLeft w:val="0"/>
      <w:marRight w:val="0"/>
      <w:marTop w:val="0"/>
      <w:marBottom w:val="0"/>
      <w:divBdr>
        <w:top w:val="none" w:sz="0" w:space="0" w:color="auto"/>
        <w:left w:val="none" w:sz="0" w:space="0" w:color="auto"/>
        <w:bottom w:val="none" w:sz="0" w:space="0" w:color="auto"/>
        <w:right w:val="none" w:sz="0" w:space="0" w:color="auto"/>
      </w:divBdr>
    </w:div>
    <w:div w:id="181432796">
      <w:bodyDiv w:val="1"/>
      <w:marLeft w:val="0"/>
      <w:marRight w:val="0"/>
      <w:marTop w:val="0"/>
      <w:marBottom w:val="0"/>
      <w:divBdr>
        <w:top w:val="none" w:sz="0" w:space="0" w:color="auto"/>
        <w:left w:val="none" w:sz="0" w:space="0" w:color="auto"/>
        <w:bottom w:val="none" w:sz="0" w:space="0" w:color="auto"/>
        <w:right w:val="none" w:sz="0" w:space="0" w:color="auto"/>
      </w:divBdr>
    </w:div>
    <w:div w:id="213129247">
      <w:bodyDiv w:val="1"/>
      <w:marLeft w:val="0"/>
      <w:marRight w:val="0"/>
      <w:marTop w:val="0"/>
      <w:marBottom w:val="0"/>
      <w:divBdr>
        <w:top w:val="none" w:sz="0" w:space="0" w:color="auto"/>
        <w:left w:val="none" w:sz="0" w:space="0" w:color="auto"/>
        <w:bottom w:val="none" w:sz="0" w:space="0" w:color="auto"/>
        <w:right w:val="none" w:sz="0" w:space="0" w:color="auto"/>
      </w:divBdr>
    </w:div>
    <w:div w:id="218133749">
      <w:bodyDiv w:val="1"/>
      <w:marLeft w:val="0"/>
      <w:marRight w:val="0"/>
      <w:marTop w:val="0"/>
      <w:marBottom w:val="0"/>
      <w:divBdr>
        <w:top w:val="none" w:sz="0" w:space="0" w:color="auto"/>
        <w:left w:val="none" w:sz="0" w:space="0" w:color="auto"/>
        <w:bottom w:val="none" w:sz="0" w:space="0" w:color="auto"/>
        <w:right w:val="none" w:sz="0" w:space="0" w:color="auto"/>
      </w:divBdr>
    </w:div>
    <w:div w:id="234123796">
      <w:bodyDiv w:val="1"/>
      <w:marLeft w:val="0"/>
      <w:marRight w:val="0"/>
      <w:marTop w:val="0"/>
      <w:marBottom w:val="0"/>
      <w:divBdr>
        <w:top w:val="none" w:sz="0" w:space="0" w:color="auto"/>
        <w:left w:val="none" w:sz="0" w:space="0" w:color="auto"/>
        <w:bottom w:val="none" w:sz="0" w:space="0" w:color="auto"/>
        <w:right w:val="none" w:sz="0" w:space="0" w:color="auto"/>
      </w:divBdr>
    </w:div>
    <w:div w:id="242422322">
      <w:bodyDiv w:val="1"/>
      <w:marLeft w:val="0"/>
      <w:marRight w:val="0"/>
      <w:marTop w:val="0"/>
      <w:marBottom w:val="0"/>
      <w:divBdr>
        <w:top w:val="none" w:sz="0" w:space="0" w:color="auto"/>
        <w:left w:val="none" w:sz="0" w:space="0" w:color="auto"/>
        <w:bottom w:val="none" w:sz="0" w:space="0" w:color="auto"/>
        <w:right w:val="none" w:sz="0" w:space="0" w:color="auto"/>
      </w:divBdr>
    </w:div>
    <w:div w:id="250702203">
      <w:bodyDiv w:val="1"/>
      <w:marLeft w:val="0"/>
      <w:marRight w:val="0"/>
      <w:marTop w:val="0"/>
      <w:marBottom w:val="0"/>
      <w:divBdr>
        <w:top w:val="none" w:sz="0" w:space="0" w:color="auto"/>
        <w:left w:val="none" w:sz="0" w:space="0" w:color="auto"/>
        <w:bottom w:val="none" w:sz="0" w:space="0" w:color="auto"/>
        <w:right w:val="none" w:sz="0" w:space="0" w:color="auto"/>
      </w:divBdr>
    </w:div>
    <w:div w:id="278296082">
      <w:bodyDiv w:val="1"/>
      <w:marLeft w:val="0"/>
      <w:marRight w:val="0"/>
      <w:marTop w:val="0"/>
      <w:marBottom w:val="0"/>
      <w:divBdr>
        <w:top w:val="none" w:sz="0" w:space="0" w:color="auto"/>
        <w:left w:val="none" w:sz="0" w:space="0" w:color="auto"/>
        <w:bottom w:val="none" w:sz="0" w:space="0" w:color="auto"/>
        <w:right w:val="none" w:sz="0" w:space="0" w:color="auto"/>
      </w:divBdr>
    </w:div>
    <w:div w:id="296495993">
      <w:bodyDiv w:val="1"/>
      <w:marLeft w:val="0"/>
      <w:marRight w:val="0"/>
      <w:marTop w:val="0"/>
      <w:marBottom w:val="0"/>
      <w:divBdr>
        <w:top w:val="none" w:sz="0" w:space="0" w:color="auto"/>
        <w:left w:val="none" w:sz="0" w:space="0" w:color="auto"/>
        <w:bottom w:val="none" w:sz="0" w:space="0" w:color="auto"/>
        <w:right w:val="none" w:sz="0" w:space="0" w:color="auto"/>
      </w:divBdr>
    </w:div>
    <w:div w:id="336855530">
      <w:bodyDiv w:val="1"/>
      <w:marLeft w:val="0"/>
      <w:marRight w:val="0"/>
      <w:marTop w:val="0"/>
      <w:marBottom w:val="0"/>
      <w:divBdr>
        <w:top w:val="none" w:sz="0" w:space="0" w:color="auto"/>
        <w:left w:val="none" w:sz="0" w:space="0" w:color="auto"/>
        <w:bottom w:val="none" w:sz="0" w:space="0" w:color="auto"/>
        <w:right w:val="none" w:sz="0" w:space="0" w:color="auto"/>
      </w:divBdr>
    </w:div>
    <w:div w:id="349645987">
      <w:bodyDiv w:val="1"/>
      <w:marLeft w:val="0"/>
      <w:marRight w:val="0"/>
      <w:marTop w:val="0"/>
      <w:marBottom w:val="0"/>
      <w:divBdr>
        <w:top w:val="none" w:sz="0" w:space="0" w:color="auto"/>
        <w:left w:val="none" w:sz="0" w:space="0" w:color="auto"/>
        <w:bottom w:val="none" w:sz="0" w:space="0" w:color="auto"/>
        <w:right w:val="none" w:sz="0" w:space="0" w:color="auto"/>
      </w:divBdr>
    </w:div>
    <w:div w:id="363867003">
      <w:bodyDiv w:val="1"/>
      <w:marLeft w:val="0"/>
      <w:marRight w:val="0"/>
      <w:marTop w:val="0"/>
      <w:marBottom w:val="0"/>
      <w:divBdr>
        <w:top w:val="none" w:sz="0" w:space="0" w:color="auto"/>
        <w:left w:val="none" w:sz="0" w:space="0" w:color="auto"/>
        <w:bottom w:val="none" w:sz="0" w:space="0" w:color="auto"/>
        <w:right w:val="none" w:sz="0" w:space="0" w:color="auto"/>
      </w:divBdr>
    </w:div>
    <w:div w:id="381291744">
      <w:bodyDiv w:val="1"/>
      <w:marLeft w:val="0"/>
      <w:marRight w:val="0"/>
      <w:marTop w:val="0"/>
      <w:marBottom w:val="0"/>
      <w:divBdr>
        <w:top w:val="none" w:sz="0" w:space="0" w:color="auto"/>
        <w:left w:val="none" w:sz="0" w:space="0" w:color="auto"/>
        <w:bottom w:val="none" w:sz="0" w:space="0" w:color="auto"/>
        <w:right w:val="none" w:sz="0" w:space="0" w:color="auto"/>
      </w:divBdr>
    </w:div>
    <w:div w:id="432286183">
      <w:bodyDiv w:val="1"/>
      <w:marLeft w:val="0"/>
      <w:marRight w:val="0"/>
      <w:marTop w:val="0"/>
      <w:marBottom w:val="0"/>
      <w:divBdr>
        <w:top w:val="none" w:sz="0" w:space="0" w:color="auto"/>
        <w:left w:val="none" w:sz="0" w:space="0" w:color="auto"/>
        <w:bottom w:val="none" w:sz="0" w:space="0" w:color="auto"/>
        <w:right w:val="none" w:sz="0" w:space="0" w:color="auto"/>
      </w:divBdr>
    </w:div>
    <w:div w:id="491531835">
      <w:bodyDiv w:val="1"/>
      <w:marLeft w:val="0"/>
      <w:marRight w:val="0"/>
      <w:marTop w:val="0"/>
      <w:marBottom w:val="0"/>
      <w:divBdr>
        <w:top w:val="none" w:sz="0" w:space="0" w:color="auto"/>
        <w:left w:val="none" w:sz="0" w:space="0" w:color="auto"/>
        <w:bottom w:val="none" w:sz="0" w:space="0" w:color="auto"/>
        <w:right w:val="none" w:sz="0" w:space="0" w:color="auto"/>
      </w:divBdr>
    </w:div>
    <w:div w:id="510216034">
      <w:bodyDiv w:val="1"/>
      <w:marLeft w:val="0"/>
      <w:marRight w:val="0"/>
      <w:marTop w:val="0"/>
      <w:marBottom w:val="0"/>
      <w:divBdr>
        <w:top w:val="none" w:sz="0" w:space="0" w:color="auto"/>
        <w:left w:val="none" w:sz="0" w:space="0" w:color="auto"/>
        <w:bottom w:val="none" w:sz="0" w:space="0" w:color="auto"/>
        <w:right w:val="none" w:sz="0" w:space="0" w:color="auto"/>
      </w:divBdr>
    </w:div>
    <w:div w:id="517040752">
      <w:bodyDiv w:val="1"/>
      <w:marLeft w:val="0"/>
      <w:marRight w:val="0"/>
      <w:marTop w:val="0"/>
      <w:marBottom w:val="0"/>
      <w:divBdr>
        <w:top w:val="none" w:sz="0" w:space="0" w:color="auto"/>
        <w:left w:val="none" w:sz="0" w:space="0" w:color="auto"/>
        <w:bottom w:val="none" w:sz="0" w:space="0" w:color="auto"/>
        <w:right w:val="none" w:sz="0" w:space="0" w:color="auto"/>
      </w:divBdr>
    </w:div>
    <w:div w:id="557742795">
      <w:bodyDiv w:val="1"/>
      <w:marLeft w:val="0"/>
      <w:marRight w:val="0"/>
      <w:marTop w:val="0"/>
      <w:marBottom w:val="0"/>
      <w:divBdr>
        <w:top w:val="none" w:sz="0" w:space="0" w:color="auto"/>
        <w:left w:val="none" w:sz="0" w:space="0" w:color="auto"/>
        <w:bottom w:val="none" w:sz="0" w:space="0" w:color="auto"/>
        <w:right w:val="none" w:sz="0" w:space="0" w:color="auto"/>
      </w:divBdr>
    </w:div>
    <w:div w:id="563030304">
      <w:bodyDiv w:val="1"/>
      <w:marLeft w:val="0"/>
      <w:marRight w:val="0"/>
      <w:marTop w:val="0"/>
      <w:marBottom w:val="0"/>
      <w:divBdr>
        <w:top w:val="none" w:sz="0" w:space="0" w:color="auto"/>
        <w:left w:val="none" w:sz="0" w:space="0" w:color="auto"/>
        <w:bottom w:val="none" w:sz="0" w:space="0" w:color="auto"/>
        <w:right w:val="none" w:sz="0" w:space="0" w:color="auto"/>
      </w:divBdr>
    </w:div>
    <w:div w:id="576520257">
      <w:bodyDiv w:val="1"/>
      <w:marLeft w:val="0"/>
      <w:marRight w:val="0"/>
      <w:marTop w:val="0"/>
      <w:marBottom w:val="0"/>
      <w:divBdr>
        <w:top w:val="none" w:sz="0" w:space="0" w:color="auto"/>
        <w:left w:val="none" w:sz="0" w:space="0" w:color="auto"/>
        <w:bottom w:val="none" w:sz="0" w:space="0" w:color="auto"/>
        <w:right w:val="none" w:sz="0" w:space="0" w:color="auto"/>
      </w:divBdr>
    </w:div>
    <w:div w:id="601913886">
      <w:bodyDiv w:val="1"/>
      <w:marLeft w:val="0"/>
      <w:marRight w:val="0"/>
      <w:marTop w:val="0"/>
      <w:marBottom w:val="0"/>
      <w:divBdr>
        <w:top w:val="none" w:sz="0" w:space="0" w:color="auto"/>
        <w:left w:val="none" w:sz="0" w:space="0" w:color="auto"/>
        <w:bottom w:val="none" w:sz="0" w:space="0" w:color="auto"/>
        <w:right w:val="none" w:sz="0" w:space="0" w:color="auto"/>
      </w:divBdr>
    </w:div>
    <w:div w:id="606347837">
      <w:bodyDiv w:val="1"/>
      <w:marLeft w:val="0"/>
      <w:marRight w:val="0"/>
      <w:marTop w:val="0"/>
      <w:marBottom w:val="0"/>
      <w:divBdr>
        <w:top w:val="none" w:sz="0" w:space="0" w:color="auto"/>
        <w:left w:val="none" w:sz="0" w:space="0" w:color="auto"/>
        <w:bottom w:val="none" w:sz="0" w:space="0" w:color="auto"/>
        <w:right w:val="none" w:sz="0" w:space="0" w:color="auto"/>
      </w:divBdr>
    </w:div>
    <w:div w:id="613633152">
      <w:marLeft w:val="0"/>
      <w:marRight w:val="0"/>
      <w:marTop w:val="0"/>
      <w:marBottom w:val="0"/>
      <w:divBdr>
        <w:top w:val="none" w:sz="0" w:space="0" w:color="auto"/>
        <w:left w:val="none" w:sz="0" w:space="0" w:color="auto"/>
        <w:bottom w:val="none" w:sz="0" w:space="0" w:color="auto"/>
        <w:right w:val="none" w:sz="0" w:space="0" w:color="auto"/>
      </w:divBdr>
    </w:div>
    <w:div w:id="613633154">
      <w:marLeft w:val="0"/>
      <w:marRight w:val="0"/>
      <w:marTop w:val="0"/>
      <w:marBottom w:val="0"/>
      <w:divBdr>
        <w:top w:val="none" w:sz="0" w:space="0" w:color="auto"/>
        <w:left w:val="none" w:sz="0" w:space="0" w:color="auto"/>
        <w:bottom w:val="none" w:sz="0" w:space="0" w:color="auto"/>
        <w:right w:val="none" w:sz="0" w:space="0" w:color="auto"/>
      </w:divBdr>
    </w:div>
    <w:div w:id="613633155">
      <w:marLeft w:val="0"/>
      <w:marRight w:val="0"/>
      <w:marTop w:val="0"/>
      <w:marBottom w:val="0"/>
      <w:divBdr>
        <w:top w:val="none" w:sz="0" w:space="0" w:color="auto"/>
        <w:left w:val="none" w:sz="0" w:space="0" w:color="auto"/>
        <w:bottom w:val="none" w:sz="0" w:space="0" w:color="auto"/>
        <w:right w:val="none" w:sz="0" w:space="0" w:color="auto"/>
      </w:divBdr>
    </w:div>
    <w:div w:id="613633156">
      <w:marLeft w:val="0"/>
      <w:marRight w:val="0"/>
      <w:marTop w:val="0"/>
      <w:marBottom w:val="0"/>
      <w:divBdr>
        <w:top w:val="none" w:sz="0" w:space="0" w:color="auto"/>
        <w:left w:val="none" w:sz="0" w:space="0" w:color="auto"/>
        <w:bottom w:val="none" w:sz="0" w:space="0" w:color="auto"/>
        <w:right w:val="none" w:sz="0" w:space="0" w:color="auto"/>
      </w:divBdr>
      <w:divsChild>
        <w:div w:id="613633179">
          <w:marLeft w:val="720"/>
          <w:marRight w:val="720"/>
          <w:marTop w:val="100"/>
          <w:marBottom w:val="100"/>
          <w:divBdr>
            <w:top w:val="none" w:sz="0" w:space="0" w:color="auto"/>
            <w:left w:val="none" w:sz="0" w:space="0" w:color="auto"/>
            <w:bottom w:val="none" w:sz="0" w:space="0" w:color="auto"/>
            <w:right w:val="none" w:sz="0" w:space="0" w:color="auto"/>
          </w:divBdr>
        </w:div>
      </w:divsChild>
    </w:div>
    <w:div w:id="613633157">
      <w:marLeft w:val="0"/>
      <w:marRight w:val="0"/>
      <w:marTop w:val="0"/>
      <w:marBottom w:val="0"/>
      <w:divBdr>
        <w:top w:val="none" w:sz="0" w:space="0" w:color="auto"/>
        <w:left w:val="none" w:sz="0" w:space="0" w:color="auto"/>
        <w:bottom w:val="none" w:sz="0" w:space="0" w:color="auto"/>
        <w:right w:val="none" w:sz="0" w:space="0" w:color="auto"/>
      </w:divBdr>
    </w:div>
    <w:div w:id="613633159">
      <w:marLeft w:val="0"/>
      <w:marRight w:val="0"/>
      <w:marTop w:val="0"/>
      <w:marBottom w:val="0"/>
      <w:divBdr>
        <w:top w:val="none" w:sz="0" w:space="0" w:color="auto"/>
        <w:left w:val="none" w:sz="0" w:space="0" w:color="auto"/>
        <w:bottom w:val="none" w:sz="0" w:space="0" w:color="auto"/>
        <w:right w:val="none" w:sz="0" w:space="0" w:color="auto"/>
      </w:divBdr>
    </w:div>
    <w:div w:id="613633160">
      <w:marLeft w:val="0"/>
      <w:marRight w:val="0"/>
      <w:marTop w:val="0"/>
      <w:marBottom w:val="0"/>
      <w:divBdr>
        <w:top w:val="none" w:sz="0" w:space="0" w:color="auto"/>
        <w:left w:val="none" w:sz="0" w:space="0" w:color="auto"/>
        <w:bottom w:val="none" w:sz="0" w:space="0" w:color="auto"/>
        <w:right w:val="none" w:sz="0" w:space="0" w:color="auto"/>
      </w:divBdr>
    </w:div>
    <w:div w:id="613633161">
      <w:marLeft w:val="0"/>
      <w:marRight w:val="0"/>
      <w:marTop w:val="0"/>
      <w:marBottom w:val="0"/>
      <w:divBdr>
        <w:top w:val="none" w:sz="0" w:space="0" w:color="auto"/>
        <w:left w:val="none" w:sz="0" w:space="0" w:color="auto"/>
        <w:bottom w:val="none" w:sz="0" w:space="0" w:color="auto"/>
        <w:right w:val="none" w:sz="0" w:space="0" w:color="auto"/>
      </w:divBdr>
    </w:div>
    <w:div w:id="613633162">
      <w:marLeft w:val="0"/>
      <w:marRight w:val="0"/>
      <w:marTop w:val="0"/>
      <w:marBottom w:val="0"/>
      <w:divBdr>
        <w:top w:val="none" w:sz="0" w:space="0" w:color="auto"/>
        <w:left w:val="none" w:sz="0" w:space="0" w:color="auto"/>
        <w:bottom w:val="none" w:sz="0" w:space="0" w:color="auto"/>
        <w:right w:val="none" w:sz="0" w:space="0" w:color="auto"/>
      </w:divBdr>
    </w:div>
    <w:div w:id="613633163">
      <w:marLeft w:val="0"/>
      <w:marRight w:val="0"/>
      <w:marTop w:val="0"/>
      <w:marBottom w:val="0"/>
      <w:divBdr>
        <w:top w:val="none" w:sz="0" w:space="0" w:color="auto"/>
        <w:left w:val="none" w:sz="0" w:space="0" w:color="auto"/>
        <w:bottom w:val="none" w:sz="0" w:space="0" w:color="auto"/>
        <w:right w:val="none" w:sz="0" w:space="0" w:color="auto"/>
      </w:divBdr>
    </w:div>
    <w:div w:id="613633164">
      <w:marLeft w:val="0"/>
      <w:marRight w:val="0"/>
      <w:marTop w:val="0"/>
      <w:marBottom w:val="0"/>
      <w:divBdr>
        <w:top w:val="none" w:sz="0" w:space="0" w:color="auto"/>
        <w:left w:val="none" w:sz="0" w:space="0" w:color="auto"/>
        <w:bottom w:val="none" w:sz="0" w:space="0" w:color="auto"/>
        <w:right w:val="none" w:sz="0" w:space="0" w:color="auto"/>
      </w:divBdr>
    </w:div>
    <w:div w:id="613633165">
      <w:marLeft w:val="150"/>
      <w:marRight w:val="150"/>
      <w:marTop w:val="150"/>
      <w:marBottom w:val="150"/>
      <w:divBdr>
        <w:top w:val="none" w:sz="0" w:space="0" w:color="auto"/>
        <w:left w:val="none" w:sz="0" w:space="0" w:color="auto"/>
        <w:bottom w:val="none" w:sz="0" w:space="0" w:color="auto"/>
        <w:right w:val="none" w:sz="0" w:space="0" w:color="auto"/>
      </w:divBdr>
    </w:div>
    <w:div w:id="613633166">
      <w:marLeft w:val="0"/>
      <w:marRight w:val="0"/>
      <w:marTop w:val="0"/>
      <w:marBottom w:val="0"/>
      <w:divBdr>
        <w:top w:val="none" w:sz="0" w:space="0" w:color="auto"/>
        <w:left w:val="none" w:sz="0" w:space="0" w:color="auto"/>
        <w:bottom w:val="none" w:sz="0" w:space="0" w:color="auto"/>
        <w:right w:val="none" w:sz="0" w:space="0" w:color="auto"/>
      </w:divBdr>
    </w:div>
    <w:div w:id="613633167">
      <w:marLeft w:val="0"/>
      <w:marRight w:val="0"/>
      <w:marTop w:val="0"/>
      <w:marBottom w:val="0"/>
      <w:divBdr>
        <w:top w:val="none" w:sz="0" w:space="0" w:color="auto"/>
        <w:left w:val="none" w:sz="0" w:space="0" w:color="auto"/>
        <w:bottom w:val="none" w:sz="0" w:space="0" w:color="auto"/>
        <w:right w:val="none" w:sz="0" w:space="0" w:color="auto"/>
      </w:divBdr>
    </w:div>
    <w:div w:id="613633168">
      <w:marLeft w:val="0"/>
      <w:marRight w:val="0"/>
      <w:marTop w:val="0"/>
      <w:marBottom w:val="0"/>
      <w:divBdr>
        <w:top w:val="none" w:sz="0" w:space="0" w:color="auto"/>
        <w:left w:val="none" w:sz="0" w:space="0" w:color="auto"/>
        <w:bottom w:val="none" w:sz="0" w:space="0" w:color="auto"/>
        <w:right w:val="none" w:sz="0" w:space="0" w:color="auto"/>
      </w:divBdr>
    </w:div>
    <w:div w:id="613633169">
      <w:marLeft w:val="0"/>
      <w:marRight w:val="0"/>
      <w:marTop w:val="0"/>
      <w:marBottom w:val="0"/>
      <w:divBdr>
        <w:top w:val="none" w:sz="0" w:space="0" w:color="auto"/>
        <w:left w:val="none" w:sz="0" w:space="0" w:color="auto"/>
        <w:bottom w:val="none" w:sz="0" w:space="0" w:color="auto"/>
        <w:right w:val="none" w:sz="0" w:space="0" w:color="auto"/>
      </w:divBdr>
    </w:div>
    <w:div w:id="613633170">
      <w:marLeft w:val="0"/>
      <w:marRight w:val="0"/>
      <w:marTop w:val="0"/>
      <w:marBottom w:val="0"/>
      <w:divBdr>
        <w:top w:val="none" w:sz="0" w:space="0" w:color="auto"/>
        <w:left w:val="none" w:sz="0" w:space="0" w:color="auto"/>
        <w:bottom w:val="none" w:sz="0" w:space="0" w:color="auto"/>
        <w:right w:val="none" w:sz="0" w:space="0" w:color="auto"/>
      </w:divBdr>
    </w:div>
    <w:div w:id="613633171">
      <w:marLeft w:val="0"/>
      <w:marRight w:val="0"/>
      <w:marTop w:val="0"/>
      <w:marBottom w:val="0"/>
      <w:divBdr>
        <w:top w:val="none" w:sz="0" w:space="0" w:color="auto"/>
        <w:left w:val="none" w:sz="0" w:space="0" w:color="auto"/>
        <w:bottom w:val="none" w:sz="0" w:space="0" w:color="auto"/>
        <w:right w:val="none" w:sz="0" w:space="0" w:color="auto"/>
      </w:divBdr>
    </w:div>
    <w:div w:id="613633172">
      <w:marLeft w:val="0"/>
      <w:marRight w:val="0"/>
      <w:marTop w:val="0"/>
      <w:marBottom w:val="0"/>
      <w:divBdr>
        <w:top w:val="none" w:sz="0" w:space="0" w:color="auto"/>
        <w:left w:val="none" w:sz="0" w:space="0" w:color="auto"/>
        <w:bottom w:val="none" w:sz="0" w:space="0" w:color="auto"/>
        <w:right w:val="none" w:sz="0" w:space="0" w:color="auto"/>
      </w:divBdr>
    </w:div>
    <w:div w:id="613633173">
      <w:marLeft w:val="0"/>
      <w:marRight w:val="0"/>
      <w:marTop w:val="0"/>
      <w:marBottom w:val="0"/>
      <w:divBdr>
        <w:top w:val="none" w:sz="0" w:space="0" w:color="auto"/>
        <w:left w:val="none" w:sz="0" w:space="0" w:color="auto"/>
        <w:bottom w:val="none" w:sz="0" w:space="0" w:color="auto"/>
        <w:right w:val="none" w:sz="0" w:space="0" w:color="auto"/>
      </w:divBdr>
    </w:div>
    <w:div w:id="613633174">
      <w:marLeft w:val="0"/>
      <w:marRight w:val="0"/>
      <w:marTop w:val="0"/>
      <w:marBottom w:val="0"/>
      <w:divBdr>
        <w:top w:val="none" w:sz="0" w:space="0" w:color="auto"/>
        <w:left w:val="none" w:sz="0" w:space="0" w:color="auto"/>
        <w:bottom w:val="none" w:sz="0" w:space="0" w:color="auto"/>
        <w:right w:val="none" w:sz="0" w:space="0" w:color="auto"/>
      </w:divBdr>
    </w:div>
    <w:div w:id="613633175">
      <w:marLeft w:val="0"/>
      <w:marRight w:val="0"/>
      <w:marTop w:val="0"/>
      <w:marBottom w:val="0"/>
      <w:divBdr>
        <w:top w:val="none" w:sz="0" w:space="0" w:color="auto"/>
        <w:left w:val="none" w:sz="0" w:space="0" w:color="auto"/>
        <w:bottom w:val="none" w:sz="0" w:space="0" w:color="auto"/>
        <w:right w:val="none" w:sz="0" w:space="0" w:color="auto"/>
      </w:divBdr>
    </w:div>
    <w:div w:id="613633176">
      <w:marLeft w:val="0"/>
      <w:marRight w:val="0"/>
      <w:marTop w:val="0"/>
      <w:marBottom w:val="0"/>
      <w:divBdr>
        <w:top w:val="none" w:sz="0" w:space="0" w:color="auto"/>
        <w:left w:val="none" w:sz="0" w:space="0" w:color="auto"/>
        <w:bottom w:val="none" w:sz="0" w:space="0" w:color="auto"/>
        <w:right w:val="none" w:sz="0" w:space="0" w:color="auto"/>
      </w:divBdr>
    </w:div>
    <w:div w:id="613633180">
      <w:marLeft w:val="0"/>
      <w:marRight w:val="0"/>
      <w:marTop w:val="0"/>
      <w:marBottom w:val="0"/>
      <w:divBdr>
        <w:top w:val="none" w:sz="0" w:space="0" w:color="auto"/>
        <w:left w:val="none" w:sz="0" w:space="0" w:color="auto"/>
        <w:bottom w:val="none" w:sz="0" w:space="0" w:color="auto"/>
        <w:right w:val="none" w:sz="0" w:space="0" w:color="auto"/>
      </w:divBdr>
    </w:div>
    <w:div w:id="613633181">
      <w:marLeft w:val="0"/>
      <w:marRight w:val="0"/>
      <w:marTop w:val="0"/>
      <w:marBottom w:val="0"/>
      <w:divBdr>
        <w:top w:val="none" w:sz="0" w:space="0" w:color="auto"/>
        <w:left w:val="none" w:sz="0" w:space="0" w:color="auto"/>
        <w:bottom w:val="none" w:sz="0" w:space="0" w:color="auto"/>
        <w:right w:val="none" w:sz="0" w:space="0" w:color="auto"/>
      </w:divBdr>
    </w:div>
    <w:div w:id="613633182">
      <w:marLeft w:val="0"/>
      <w:marRight w:val="0"/>
      <w:marTop w:val="0"/>
      <w:marBottom w:val="0"/>
      <w:divBdr>
        <w:top w:val="none" w:sz="0" w:space="0" w:color="auto"/>
        <w:left w:val="none" w:sz="0" w:space="0" w:color="auto"/>
        <w:bottom w:val="none" w:sz="0" w:space="0" w:color="auto"/>
        <w:right w:val="none" w:sz="0" w:space="0" w:color="auto"/>
      </w:divBdr>
    </w:div>
    <w:div w:id="613633183">
      <w:marLeft w:val="0"/>
      <w:marRight w:val="0"/>
      <w:marTop w:val="0"/>
      <w:marBottom w:val="0"/>
      <w:divBdr>
        <w:top w:val="none" w:sz="0" w:space="0" w:color="auto"/>
        <w:left w:val="none" w:sz="0" w:space="0" w:color="auto"/>
        <w:bottom w:val="none" w:sz="0" w:space="0" w:color="auto"/>
        <w:right w:val="none" w:sz="0" w:space="0" w:color="auto"/>
      </w:divBdr>
    </w:div>
    <w:div w:id="613633184">
      <w:marLeft w:val="0"/>
      <w:marRight w:val="0"/>
      <w:marTop w:val="0"/>
      <w:marBottom w:val="0"/>
      <w:divBdr>
        <w:top w:val="none" w:sz="0" w:space="0" w:color="auto"/>
        <w:left w:val="none" w:sz="0" w:space="0" w:color="auto"/>
        <w:bottom w:val="none" w:sz="0" w:space="0" w:color="auto"/>
        <w:right w:val="none" w:sz="0" w:space="0" w:color="auto"/>
      </w:divBdr>
    </w:div>
    <w:div w:id="613633185">
      <w:marLeft w:val="0"/>
      <w:marRight w:val="0"/>
      <w:marTop w:val="0"/>
      <w:marBottom w:val="0"/>
      <w:divBdr>
        <w:top w:val="none" w:sz="0" w:space="0" w:color="auto"/>
        <w:left w:val="none" w:sz="0" w:space="0" w:color="auto"/>
        <w:bottom w:val="none" w:sz="0" w:space="0" w:color="auto"/>
        <w:right w:val="none" w:sz="0" w:space="0" w:color="auto"/>
      </w:divBdr>
    </w:div>
    <w:div w:id="613633186">
      <w:marLeft w:val="0"/>
      <w:marRight w:val="0"/>
      <w:marTop w:val="0"/>
      <w:marBottom w:val="0"/>
      <w:divBdr>
        <w:top w:val="none" w:sz="0" w:space="0" w:color="auto"/>
        <w:left w:val="none" w:sz="0" w:space="0" w:color="auto"/>
        <w:bottom w:val="none" w:sz="0" w:space="0" w:color="auto"/>
        <w:right w:val="none" w:sz="0" w:space="0" w:color="auto"/>
      </w:divBdr>
    </w:div>
    <w:div w:id="613633187">
      <w:marLeft w:val="0"/>
      <w:marRight w:val="0"/>
      <w:marTop w:val="0"/>
      <w:marBottom w:val="0"/>
      <w:divBdr>
        <w:top w:val="none" w:sz="0" w:space="0" w:color="auto"/>
        <w:left w:val="none" w:sz="0" w:space="0" w:color="auto"/>
        <w:bottom w:val="none" w:sz="0" w:space="0" w:color="auto"/>
        <w:right w:val="none" w:sz="0" w:space="0" w:color="auto"/>
      </w:divBdr>
    </w:div>
    <w:div w:id="613633188">
      <w:marLeft w:val="0"/>
      <w:marRight w:val="0"/>
      <w:marTop w:val="0"/>
      <w:marBottom w:val="300"/>
      <w:divBdr>
        <w:top w:val="none" w:sz="0" w:space="0" w:color="auto"/>
        <w:left w:val="none" w:sz="0" w:space="0" w:color="auto"/>
        <w:bottom w:val="none" w:sz="0" w:space="0" w:color="auto"/>
        <w:right w:val="none" w:sz="0" w:space="0" w:color="auto"/>
      </w:divBdr>
      <w:divsChild>
        <w:div w:id="613633177">
          <w:marLeft w:val="0"/>
          <w:marRight w:val="0"/>
          <w:marTop w:val="0"/>
          <w:marBottom w:val="0"/>
          <w:divBdr>
            <w:top w:val="none" w:sz="0" w:space="0" w:color="auto"/>
            <w:left w:val="none" w:sz="0" w:space="0" w:color="auto"/>
            <w:bottom w:val="none" w:sz="0" w:space="0" w:color="auto"/>
            <w:right w:val="none" w:sz="0" w:space="0" w:color="auto"/>
          </w:divBdr>
          <w:divsChild>
            <w:div w:id="613633189">
              <w:marLeft w:val="0"/>
              <w:marRight w:val="0"/>
              <w:marTop w:val="0"/>
              <w:marBottom w:val="0"/>
              <w:divBdr>
                <w:top w:val="none" w:sz="0" w:space="0" w:color="auto"/>
                <w:left w:val="none" w:sz="0" w:space="0" w:color="auto"/>
                <w:bottom w:val="none" w:sz="0" w:space="0" w:color="auto"/>
                <w:right w:val="none" w:sz="0" w:space="0" w:color="auto"/>
              </w:divBdr>
              <w:divsChild>
                <w:div w:id="613633153">
                  <w:marLeft w:val="0"/>
                  <w:marRight w:val="150"/>
                  <w:marTop w:val="0"/>
                  <w:marBottom w:val="0"/>
                  <w:divBdr>
                    <w:top w:val="none" w:sz="0" w:space="0" w:color="D2D2D2"/>
                    <w:left w:val="none" w:sz="0" w:space="0" w:color="D2D2D2"/>
                    <w:bottom w:val="none" w:sz="0" w:space="0" w:color="D2D2D2"/>
                    <w:right w:val="none" w:sz="0" w:space="0" w:color="D2D2D2"/>
                  </w:divBdr>
                  <w:divsChild>
                    <w:div w:id="613633178">
                      <w:marLeft w:val="0"/>
                      <w:marRight w:val="0"/>
                      <w:marTop w:val="0"/>
                      <w:marBottom w:val="0"/>
                      <w:divBdr>
                        <w:top w:val="none" w:sz="0" w:space="0" w:color="auto"/>
                        <w:left w:val="none" w:sz="0" w:space="0" w:color="auto"/>
                        <w:bottom w:val="none" w:sz="0" w:space="0" w:color="auto"/>
                        <w:right w:val="none" w:sz="0" w:space="0" w:color="auto"/>
                      </w:divBdr>
                      <w:divsChild>
                        <w:div w:id="61363315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613633190">
      <w:marLeft w:val="0"/>
      <w:marRight w:val="0"/>
      <w:marTop w:val="0"/>
      <w:marBottom w:val="0"/>
      <w:divBdr>
        <w:top w:val="none" w:sz="0" w:space="0" w:color="auto"/>
        <w:left w:val="none" w:sz="0" w:space="0" w:color="auto"/>
        <w:bottom w:val="none" w:sz="0" w:space="0" w:color="auto"/>
        <w:right w:val="none" w:sz="0" w:space="0" w:color="auto"/>
      </w:divBdr>
    </w:div>
    <w:div w:id="659382581">
      <w:bodyDiv w:val="1"/>
      <w:marLeft w:val="0"/>
      <w:marRight w:val="0"/>
      <w:marTop w:val="0"/>
      <w:marBottom w:val="0"/>
      <w:divBdr>
        <w:top w:val="none" w:sz="0" w:space="0" w:color="auto"/>
        <w:left w:val="none" w:sz="0" w:space="0" w:color="auto"/>
        <w:bottom w:val="none" w:sz="0" w:space="0" w:color="auto"/>
        <w:right w:val="none" w:sz="0" w:space="0" w:color="auto"/>
      </w:divBdr>
    </w:div>
    <w:div w:id="686060635">
      <w:bodyDiv w:val="1"/>
      <w:marLeft w:val="0"/>
      <w:marRight w:val="0"/>
      <w:marTop w:val="0"/>
      <w:marBottom w:val="0"/>
      <w:divBdr>
        <w:top w:val="none" w:sz="0" w:space="0" w:color="auto"/>
        <w:left w:val="none" w:sz="0" w:space="0" w:color="auto"/>
        <w:bottom w:val="none" w:sz="0" w:space="0" w:color="auto"/>
        <w:right w:val="none" w:sz="0" w:space="0" w:color="auto"/>
      </w:divBdr>
    </w:div>
    <w:div w:id="691733412">
      <w:bodyDiv w:val="1"/>
      <w:marLeft w:val="0"/>
      <w:marRight w:val="0"/>
      <w:marTop w:val="0"/>
      <w:marBottom w:val="0"/>
      <w:divBdr>
        <w:top w:val="none" w:sz="0" w:space="0" w:color="auto"/>
        <w:left w:val="none" w:sz="0" w:space="0" w:color="auto"/>
        <w:bottom w:val="none" w:sz="0" w:space="0" w:color="auto"/>
        <w:right w:val="none" w:sz="0" w:space="0" w:color="auto"/>
      </w:divBdr>
    </w:div>
    <w:div w:id="700207244">
      <w:bodyDiv w:val="1"/>
      <w:marLeft w:val="0"/>
      <w:marRight w:val="0"/>
      <w:marTop w:val="0"/>
      <w:marBottom w:val="0"/>
      <w:divBdr>
        <w:top w:val="none" w:sz="0" w:space="0" w:color="auto"/>
        <w:left w:val="none" w:sz="0" w:space="0" w:color="auto"/>
        <w:bottom w:val="none" w:sz="0" w:space="0" w:color="auto"/>
        <w:right w:val="none" w:sz="0" w:space="0" w:color="auto"/>
      </w:divBdr>
    </w:div>
    <w:div w:id="712777407">
      <w:bodyDiv w:val="1"/>
      <w:marLeft w:val="0"/>
      <w:marRight w:val="0"/>
      <w:marTop w:val="0"/>
      <w:marBottom w:val="0"/>
      <w:divBdr>
        <w:top w:val="none" w:sz="0" w:space="0" w:color="auto"/>
        <w:left w:val="none" w:sz="0" w:space="0" w:color="auto"/>
        <w:bottom w:val="none" w:sz="0" w:space="0" w:color="auto"/>
        <w:right w:val="none" w:sz="0" w:space="0" w:color="auto"/>
      </w:divBdr>
    </w:div>
    <w:div w:id="718437302">
      <w:bodyDiv w:val="1"/>
      <w:marLeft w:val="0"/>
      <w:marRight w:val="0"/>
      <w:marTop w:val="0"/>
      <w:marBottom w:val="0"/>
      <w:divBdr>
        <w:top w:val="none" w:sz="0" w:space="0" w:color="auto"/>
        <w:left w:val="none" w:sz="0" w:space="0" w:color="auto"/>
        <w:bottom w:val="none" w:sz="0" w:space="0" w:color="auto"/>
        <w:right w:val="none" w:sz="0" w:space="0" w:color="auto"/>
      </w:divBdr>
    </w:div>
    <w:div w:id="827479486">
      <w:bodyDiv w:val="1"/>
      <w:marLeft w:val="0"/>
      <w:marRight w:val="0"/>
      <w:marTop w:val="0"/>
      <w:marBottom w:val="0"/>
      <w:divBdr>
        <w:top w:val="none" w:sz="0" w:space="0" w:color="auto"/>
        <w:left w:val="none" w:sz="0" w:space="0" w:color="auto"/>
        <w:bottom w:val="none" w:sz="0" w:space="0" w:color="auto"/>
        <w:right w:val="none" w:sz="0" w:space="0" w:color="auto"/>
      </w:divBdr>
    </w:div>
    <w:div w:id="851264123">
      <w:bodyDiv w:val="1"/>
      <w:marLeft w:val="0"/>
      <w:marRight w:val="0"/>
      <w:marTop w:val="0"/>
      <w:marBottom w:val="0"/>
      <w:divBdr>
        <w:top w:val="none" w:sz="0" w:space="0" w:color="auto"/>
        <w:left w:val="none" w:sz="0" w:space="0" w:color="auto"/>
        <w:bottom w:val="none" w:sz="0" w:space="0" w:color="auto"/>
        <w:right w:val="none" w:sz="0" w:space="0" w:color="auto"/>
      </w:divBdr>
    </w:div>
    <w:div w:id="86713658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1089008">
      <w:bodyDiv w:val="1"/>
      <w:marLeft w:val="0"/>
      <w:marRight w:val="0"/>
      <w:marTop w:val="0"/>
      <w:marBottom w:val="0"/>
      <w:divBdr>
        <w:top w:val="none" w:sz="0" w:space="0" w:color="auto"/>
        <w:left w:val="none" w:sz="0" w:space="0" w:color="auto"/>
        <w:bottom w:val="none" w:sz="0" w:space="0" w:color="auto"/>
        <w:right w:val="none" w:sz="0" w:space="0" w:color="auto"/>
      </w:divBdr>
    </w:div>
    <w:div w:id="953170725">
      <w:bodyDiv w:val="1"/>
      <w:marLeft w:val="0"/>
      <w:marRight w:val="0"/>
      <w:marTop w:val="0"/>
      <w:marBottom w:val="0"/>
      <w:divBdr>
        <w:top w:val="none" w:sz="0" w:space="0" w:color="auto"/>
        <w:left w:val="none" w:sz="0" w:space="0" w:color="auto"/>
        <w:bottom w:val="none" w:sz="0" w:space="0" w:color="auto"/>
        <w:right w:val="none" w:sz="0" w:space="0" w:color="auto"/>
      </w:divBdr>
    </w:div>
    <w:div w:id="965698997">
      <w:bodyDiv w:val="1"/>
      <w:marLeft w:val="0"/>
      <w:marRight w:val="0"/>
      <w:marTop w:val="0"/>
      <w:marBottom w:val="0"/>
      <w:divBdr>
        <w:top w:val="none" w:sz="0" w:space="0" w:color="auto"/>
        <w:left w:val="none" w:sz="0" w:space="0" w:color="auto"/>
        <w:bottom w:val="none" w:sz="0" w:space="0" w:color="auto"/>
        <w:right w:val="none" w:sz="0" w:space="0" w:color="auto"/>
      </w:divBdr>
    </w:div>
    <w:div w:id="978612823">
      <w:bodyDiv w:val="1"/>
      <w:marLeft w:val="0"/>
      <w:marRight w:val="0"/>
      <w:marTop w:val="0"/>
      <w:marBottom w:val="0"/>
      <w:divBdr>
        <w:top w:val="none" w:sz="0" w:space="0" w:color="auto"/>
        <w:left w:val="none" w:sz="0" w:space="0" w:color="auto"/>
        <w:bottom w:val="none" w:sz="0" w:space="0" w:color="auto"/>
        <w:right w:val="none" w:sz="0" w:space="0" w:color="auto"/>
      </w:divBdr>
    </w:div>
    <w:div w:id="980113646">
      <w:bodyDiv w:val="1"/>
      <w:marLeft w:val="0"/>
      <w:marRight w:val="0"/>
      <w:marTop w:val="0"/>
      <w:marBottom w:val="0"/>
      <w:divBdr>
        <w:top w:val="none" w:sz="0" w:space="0" w:color="auto"/>
        <w:left w:val="none" w:sz="0" w:space="0" w:color="auto"/>
        <w:bottom w:val="none" w:sz="0" w:space="0" w:color="auto"/>
        <w:right w:val="none" w:sz="0" w:space="0" w:color="auto"/>
      </w:divBdr>
    </w:div>
    <w:div w:id="984548301">
      <w:bodyDiv w:val="1"/>
      <w:marLeft w:val="0"/>
      <w:marRight w:val="0"/>
      <w:marTop w:val="0"/>
      <w:marBottom w:val="0"/>
      <w:divBdr>
        <w:top w:val="none" w:sz="0" w:space="0" w:color="auto"/>
        <w:left w:val="none" w:sz="0" w:space="0" w:color="auto"/>
        <w:bottom w:val="none" w:sz="0" w:space="0" w:color="auto"/>
        <w:right w:val="none" w:sz="0" w:space="0" w:color="auto"/>
      </w:divBdr>
    </w:div>
    <w:div w:id="1061439607">
      <w:bodyDiv w:val="1"/>
      <w:marLeft w:val="0"/>
      <w:marRight w:val="0"/>
      <w:marTop w:val="0"/>
      <w:marBottom w:val="0"/>
      <w:divBdr>
        <w:top w:val="none" w:sz="0" w:space="0" w:color="auto"/>
        <w:left w:val="none" w:sz="0" w:space="0" w:color="auto"/>
        <w:bottom w:val="none" w:sz="0" w:space="0" w:color="auto"/>
        <w:right w:val="none" w:sz="0" w:space="0" w:color="auto"/>
      </w:divBdr>
    </w:div>
    <w:div w:id="1068309656">
      <w:bodyDiv w:val="1"/>
      <w:marLeft w:val="0"/>
      <w:marRight w:val="0"/>
      <w:marTop w:val="0"/>
      <w:marBottom w:val="0"/>
      <w:divBdr>
        <w:top w:val="none" w:sz="0" w:space="0" w:color="auto"/>
        <w:left w:val="none" w:sz="0" w:space="0" w:color="auto"/>
        <w:bottom w:val="none" w:sz="0" w:space="0" w:color="auto"/>
        <w:right w:val="none" w:sz="0" w:space="0" w:color="auto"/>
      </w:divBdr>
    </w:div>
    <w:div w:id="1088885891">
      <w:bodyDiv w:val="1"/>
      <w:marLeft w:val="0"/>
      <w:marRight w:val="0"/>
      <w:marTop w:val="0"/>
      <w:marBottom w:val="0"/>
      <w:divBdr>
        <w:top w:val="none" w:sz="0" w:space="0" w:color="auto"/>
        <w:left w:val="none" w:sz="0" w:space="0" w:color="auto"/>
        <w:bottom w:val="none" w:sz="0" w:space="0" w:color="auto"/>
        <w:right w:val="none" w:sz="0" w:space="0" w:color="auto"/>
      </w:divBdr>
    </w:div>
    <w:div w:id="1111122948">
      <w:bodyDiv w:val="1"/>
      <w:marLeft w:val="0"/>
      <w:marRight w:val="0"/>
      <w:marTop w:val="0"/>
      <w:marBottom w:val="0"/>
      <w:divBdr>
        <w:top w:val="none" w:sz="0" w:space="0" w:color="auto"/>
        <w:left w:val="none" w:sz="0" w:space="0" w:color="auto"/>
        <w:bottom w:val="none" w:sz="0" w:space="0" w:color="auto"/>
        <w:right w:val="none" w:sz="0" w:space="0" w:color="auto"/>
      </w:divBdr>
    </w:div>
    <w:div w:id="1115753704">
      <w:bodyDiv w:val="1"/>
      <w:marLeft w:val="0"/>
      <w:marRight w:val="0"/>
      <w:marTop w:val="0"/>
      <w:marBottom w:val="0"/>
      <w:divBdr>
        <w:top w:val="none" w:sz="0" w:space="0" w:color="auto"/>
        <w:left w:val="none" w:sz="0" w:space="0" w:color="auto"/>
        <w:bottom w:val="none" w:sz="0" w:space="0" w:color="auto"/>
        <w:right w:val="none" w:sz="0" w:space="0" w:color="auto"/>
      </w:divBdr>
    </w:div>
    <w:div w:id="1121650243">
      <w:bodyDiv w:val="1"/>
      <w:marLeft w:val="0"/>
      <w:marRight w:val="0"/>
      <w:marTop w:val="0"/>
      <w:marBottom w:val="0"/>
      <w:divBdr>
        <w:top w:val="none" w:sz="0" w:space="0" w:color="auto"/>
        <w:left w:val="none" w:sz="0" w:space="0" w:color="auto"/>
        <w:bottom w:val="none" w:sz="0" w:space="0" w:color="auto"/>
        <w:right w:val="none" w:sz="0" w:space="0" w:color="auto"/>
      </w:divBdr>
    </w:div>
    <w:div w:id="1122961515">
      <w:bodyDiv w:val="1"/>
      <w:marLeft w:val="0"/>
      <w:marRight w:val="0"/>
      <w:marTop w:val="0"/>
      <w:marBottom w:val="0"/>
      <w:divBdr>
        <w:top w:val="none" w:sz="0" w:space="0" w:color="auto"/>
        <w:left w:val="none" w:sz="0" w:space="0" w:color="auto"/>
        <w:bottom w:val="none" w:sz="0" w:space="0" w:color="auto"/>
        <w:right w:val="none" w:sz="0" w:space="0" w:color="auto"/>
      </w:divBdr>
    </w:div>
    <w:div w:id="1129666839">
      <w:bodyDiv w:val="1"/>
      <w:marLeft w:val="0"/>
      <w:marRight w:val="0"/>
      <w:marTop w:val="0"/>
      <w:marBottom w:val="0"/>
      <w:divBdr>
        <w:top w:val="none" w:sz="0" w:space="0" w:color="auto"/>
        <w:left w:val="none" w:sz="0" w:space="0" w:color="auto"/>
        <w:bottom w:val="none" w:sz="0" w:space="0" w:color="auto"/>
        <w:right w:val="none" w:sz="0" w:space="0" w:color="auto"/>
      </w:divBdr>
    </w:div>
    <w:div w:id="1146973742">
      <w:bodyDiv w:val="1"/>
      <w:marLeft w:val="0"/>
      <w:marRight w:val="0"/>
      <w:marTop w:val="0"/>
      <w:marBottom w:val="0"/>
      <w:divBdr>
        <w:top w:val="none" w:sz="0" w:space="0" w:color="auto"/>
        <w:left w:val="none" w:sz="0" w:space="0" w:color="auto"/>
        <w:bottom w:val="none" w:sz="0" w:space="0" w:color="auto"/>
        <w:right w:val="none" w:sz="0" w:space="0" w:color="auto"/>
      </w:divBdr>
    </w:div>
    <w:div w:id="1160118531">
      <w:bodyDiv w:val="1"/>
      <w:marLeft w:val="0"/>
      <w:marRight w:val="0"/>
      <w:marTop w:val="0"/>
      <w:marBottom w:val="0"/>
      <w:divBdr>
        <w:top w:val="none" w:sz="0" w:space="0" w:color="auto"/>
        <w:left w:val="none" w:sz="0" w:space="0" w:color="auto"/>
        <w:bottom w:val="none" w:sz="0" w:space="0" w:color="auto"/>
        <w:right w:val="none" w:sz="0" w:space="0" w:color="auto"/>
      </w:divBdr>
    </w:div>
    <w:div w:id="1184592124">
      <w:bodyDiv w:val="1"/>
      <w:marLeft w:val="0"/>
      <w:marRight w:val="0"/>
      <w:marTop w:val="0"/>
      <w:marBottom w:val="0"/>
      <w:divBdr>
        <w:top w:val="none" w:sz="0" w:space="0" w:color="auto"/>
        <w:left w:val="none" w:sz="0" w:space="0" w:color="auto"/>
        <w:bottom w:val="none" w:sz="0" w:space="0" w:color="auto"/>
        <w:right w:val="none" w:sz="0" w:space="0" w:color="auto"/>
      </w:divBdr>
    </w:div>
    <w:div w:id="1214543757">
      <w:bodyDiv w:val="1"/>
      <w:marLeft w:val="0"/>
      <w:marRight w:val="0"/>
      <w:marTop w:val="0"/>
      <w:marBottom w:val="0"/>
      <w:divBdr>
        <w:top w:val="none" w:sz="0" w:space="0" w:color="auto"/>
        <w:left w:val="none" w:sz="0" w:space="0" w:color="auto"/>
        <w:bottom w:val="none" w:sz="0" w:space="0" w:color="auto"/>
        <w:right w:val="none" w:sz="0" w:space="0" w:color="auto"/>
      </w:divBdr>
    </w:div>
    <w:div w:id="1228880775">
      <w:bodyDiv w:val="1"/>
      <w:marLeft w:val="0"/>
      <w:marRight w:val="0"/>
      <w:marTop w:val="0"/>
      <w:marBottom w:val="0"/>
      <w:divBdr>
        <w:top w:val="none" w:sz="0" w:space="0" w:color="auto"/>
        <w:left w:val="none" w:sz="0" w:space="0" w:color="auto"/>
        <w:bottom w:val="none" w:sz="0" w:space="0" w:color="auto"/>
        <w:right w:val="none" w:sz="0" w:space="0" w:color="auto"/>
      </w:divBdr>
    </w:div>
    <w:div w:id="1241407385">
      <w:bodyDiv w:val="1"/>
      <w:marLeft w:val="0"/>
      <w:marRight w:val="0"/>
      <w:marTop w:val="0"/>
      <w:marBottom w:val="0"/>
      <w:divBdr>
        <w:top w:val="none" w:sz="0" w:space="0" w:color="auto"/>
        <w:left w:val="none" w:sz="0" w:space="0" w:color="auto"/>
        <w:bottom w:val="none" w:sz="0" w:space="0" w:color="auto"/>
        <w:right w:val="none" w:sz="0" w:space="0" w:color="auto"/>
      </w:divBdr>
    </w:div>
    <w:div w:id="1266384146">
      <w:bodyDiv w:val="1"/>
      <w:marLeft w:val="0"/>
      <w:marRight w:val="0"/>
      <w:marTop w:val="0"/>
      <w:marBottom w:val="0"/>
      <w:divBdr>
        <w:top w:val="none" w:sz="0" w:space="0" w:color="auto"/>
        <w:left w:val="none" w:sz="0" w:space="0" w:color="auto"/>
        <w:bottom w:val="none" w:sz="0" w:space="0" w:color="auto"/>
        <w:right w:val="none" w:sz="0" w:space="0" w:color="auto"/>
      </w:divBdr>
    </w:div>
    <w:div w:id="1277372569">
      <w:bodyDiv w:val="1"/>
      <w:marLeft w:val="0"/>
      <w:marRight w:val="0"/>
      <w:marTop w:val="0"/>
      <w:marBottom w:val="0"/>
      <w:divBdr>
        <w:top w:val="none" w:sz="0" w:space="0" w:color="auto"/>
        <w:left w:val="none" w:sz="0" w:space="0" w:color="auto"/>
        <w:bottom w:val="none" w:sz="0" w:space="0" w:color="auto"/>
        <w:right w:val="none" w:sz="0" w:space="0" w:color="auto"/>
      </w:divBdr>
    </w:div>
    <w:div w:id="1300038201">
      <w:bodyDiv w:val="1"/>
      <w:marLeft w:val="0"/>
      <w:marRight w:val="0"/>
      <w:marTop w:val="0"/>
      <w:marBottom w:val="0"/>
      <w:divBdr>
        <w:top w:val="none" w:sz="0" w:space="0" w:color="auto"/>
        <w:left w:val="none" w:sz="0" w:space="0" w:color="auto"/>
        <w:bottom w:val="none" w:sz="0" w:space="0" w:color="auto"/>
        <w:right w:val="none" w:sz="0" w:space="0" w:color="auto"/>
      </w:divBdr>
    </w:div>
    <w:div w:id="1300840195">
      <w:bodyDiv w:val="1"/>
      <w:marLeft w:val="0"/>
      <w:marRight w:val="0"/>
      <w:marTop w:val="0"/>
      <w:marBottom w:val="0"/>
      <w:divBdr>
        <w:top w:val="none" w:sz="0" w:space="0" w:color="auto"/>
        <w:left w:val="none" w:sz="0" w:space="0" w:color="auto"/>
        <w:bottom w:val="none" w:sz="0" w:space="0" w:color="auto"/>
        <w:right w:val="none" w:sz="0" w:space="0" w:color="auto"/>
      </w:divBdr>
    </w:div>
    <w:div w:id="1301113671">
      <w:bodyDiv w:val="1"/>
      <w:marLeft w:val="0"/>
      <w:marRight w:val="0"/>
      <w:marTop w:val="0"/>
      <w:marBottom w:val="0"/>
      <w:divBdr>
        <w:top w:val="none" w:sz="0" w:space="0" w:color="auto"/>
        <w:left w:val="none" w:sz="0" w:space="0" w:color="auto"/>
        <w:bottom w:val="none" w:sz="0" w:space="0" w:color="auto"/>
        <w:right w:val="none" w:sz="0" w:space="0" w:color="auto"/>
      </w:divBdr>
    </w:div>
    <w:div w:id="1327130262">
      <w:bodyDiv w:val="1"/>
      <w:marLeft w:val="0"/>
      <w:marRight w:val="0"/>
      <w:marTop w:val="0"/>
      <w:marBottom w:val="0"/>
      <w:divBdr>
        <w:top w:val="none" w:sz="0" w:space="0" w:color="auto"/>
        <w:left w:val="none" w:sz="0" w:space="0" w:color="auto"/>
        <w:bottom w:val="none" w:sz="0" w:space="0" w:color="auto"/>
        <w:right w:val="none" w:sz="0" w:space="0" w:color="auto"/>
      </w:divBdr>
    </w:div>
    <w:div w:id="1352143221">
      <w:bodyDiv w:val="1"/>
      <w:marLeft w:val="0"/>
      <w:marRight w:val="0"/>
      <w:marTop w:val="0"/>
      <w:marBottom w:val="0"/>
      <w:divBdr>
        <w:top w:val="none" w:sz="0" w:space="0" w:color="auto"/>
        <w:left w:val="none" w:sz="0" w:space="0" w:color="auto"/>
        <w:bottom w:val="none" w:sz="0" w:space="0" w:color="auto"/>
        <w:right w:val="none" w:sz="0" w:space="0" w:color="auto"/>
      </w:divBdr>
    </w:div>
    <w:div w:id="1355958405">
      <w:bodyDiv w:val="1"/>
      <w:marLeft w:val="0"/>
      <w:marRight w:val="0"/>
      <w:marTop w:val="0"/>
      <w:marBottom w:val="0"/>
      <w:divBdr>
        <w:top w:val="none" w:sz="0" w:space="0" w:color="auto"/>
        <w:left w:val="none" w:sz="0" w:space="0" w:color="auto"/>
        <w:bottom w:val="none" w:sz="0" w:space="0" w:color="auto"/>
        <w:right w:val="none" w:sz="0" w:space="0" w:color="auto"/>
      </w:divBdr>
    </w:div>
    <w:div w:id="1399092041">
      <w:bodyDiv w:val="1"/>
      <w:marLeft w:val="0"/>
      <w:marRight w:val="0"/>
      <w:marTop w:val="0"/>
      <w:marBottom w:val="0"/>
      <w:divBdr>
        <w:top w:val="none" w:sz="0" w:space="0" w:color="auto"/>
        <w:left w:val="none" w:sz="0" w:space="0" w:color="auto"/>
        <w:bottom w:val="none" w:sz="0" w:space="0" w:color="auto"/>
        <w:right w:val="none" w:sz="0" w:space="0" w:color="auto"/>
      </w:divBdr>
    </w:div>
    <w:div w:id="1400130213">
      <w:bodyDiv w:val="1"/>
      <w:marLeft w:val="0"/>
      <w:marRight w:val="0"/>
      <w:marTop w:val="0"/>
      <w:marBottom w:val="0"/>
      <w:divBdr>
        <w:top w:val="none" w:sz="0" w:space="0" w:color="auto"/>
        <w:left w:val="none" w:sz="0" w:space="0" w:color="auto"/>
        <w:bottom w:val="none" w:sz="0" w:space="0" w:color="auto"/>
        <w:right w:val="none" w:sz="0" w:space="0" w:color="auto"/>
      </w:divBdr>
    </w:div>
    <w:div w:id="1400328653">
      <w:bodyDiv w:val="1"/>
      <w:marLeft w:val="0"/>
      <w:marRight w:val="0"/>
      <w:marTop w:val="0"/>
      <w:marBottom w:val="0"/>
      <w:divBdr>
        <w:top w:val="none" w:sz="0" w:space="0" w:color="auto"/>
        <w:left w:val="none" w:sz="0" w:space="0" w:color="auto"/>
        <w:bottom w:val="none" w:sz="0" w:space="0" w:color="auto"/>
        <w:right w:val="none" w:sz="0" w:space="0" w:color="auto"/>
      </w:divBdr>
    </w:div>
    <w:div w:id="1410881549">
      <w:bodyDiv w:val="1"/>
      <w:marLeft w:val="0"/>
      <w:marRight w:val="0"/>
      <w:marTop w:val="0"/>
      <w:marBottom w:val="0"/>
      <w:divBdr>
        <w:top w:val="none" w:sz="0" w:space="0" w:color="auto"/>
        <w:left w:val="none" w:sz="0" w:space="0" w:color="auto"/>
        <w:bottom w:val="none" w:sz="0" w:space="0" w:color="auto"/>
        <w:right w:val="none" w:sz="0" w:space="0" w:color="auto"/>
      </w:divBdr>
    </w:div>
    <w:div w:id="1424569724">
      <w:bodyDiv w:val="1"/>
      <w:marLeft w:val="0"/>
      <w:marRight w:val="0"/>
      <w:marTop w:val="0"/>
      <w:marBottom w:val="0"/>
      <w:divBdr>
        <w:top w:val="none" w:sz="0" w:space="0" w:color="auto"/>
        <w:left w:val="none" w:sz="0" w:space="0" w:color="auto"/>
        <w:bottom w:val="none" w:sz="0" w:space="0" w:color="auto"/>
        <w:right w:val="none" w:sz="0" w:space="0" w:color="auto"/>
      </w:divBdr>
    </w:div>
    <w:div w:id="1424649704">
      <w:bodyDiv w:val="1"/>
      <w:marLeft w:val="0"/>
      <w:marRight w:val="0"/>
      <w:marTop w:val="0"/>
      <w:marBottom w:val="0"/>
      <w:divBdr>
        <w:top w:val="none" w:sz="0" w:space="0" w:color="auto"/>
        <w:left w:val="none" w:sz="0" w:space="0" w:color="auto"/>
        <w:bottom w:val="none" w:sz="0" w:space="0" w:color="auto"/>
        <w:right w:val="none" w:sz="0" w:space="0" w:color="auto"/>
      </w:divBdr>
    </w:div>
    <w:div w:id="1430660705">
      <w:bodyDiv w:val="1"/>
      <w:marLeft w:val="0"/>
      <w:marRight w:val="0"/>
      <w:marTop w:val="0"/>
      <w:marBottom w:val="0"/>
      <w:divBdr>
        <w:top w:val="none" w:sz="0" w:space="0" w:color="auto"/>
        <w:left w:val="none" w:sz="0" w:space="0" w:color="auto"/>
        <w:bottom w:val="none" w:sz="0" w:space="0" w:color="auto"/>
        <w:right w:val="none" w:sz="0" w:space="0" w:color="auto"/>
      </w:divBdr>
    </w:div>
    <w:div w:id="1458261713">
      <w:bodyDiv w:val="1"/>
      <w:marLeft w:val="0"/>
      <w:marRight w:val="0"/>
      <w:marTop w:val="0"/>
      <w:marBottom w:val="0"/>
      <w:divBdr>
        <w:top w:val="none" w:sz="0" w:space="0" w:color="auto"/>
        <w:left w:val="none" w:sz="0" w:space="0" w:color="auto"/>
        <w:bottom w:val="none" w:sz="0" w:space="0" w:color="auto"/>
        <w:right w:val="none" w:sz="0" w:space="0" w:color="auto"/>
      </w:divBdr>
    </w:div>
    <w:div w:id="1471635520">
      <w:bodyDiv w:val="1"/>
      <w:marLeft w:val="0"/>
      <w:marRight w:val="0"/>
      <w:marTop w:val="0"/>
      <w:marBottom w:val="0"/>
      <w:divBdr>
        <w:top w:val="none" w:sz="0" w:space="0" w:color="auto"/>
        <w:left w:val="none" w:sz="0" w:space="0" w:color="auto"/>
        <w:bottom w:val="none" w:sz="0" w:space="0" w:color="auto"/>
        <w:right w:val="none" w:sz="0" w:space="0" w:color="auto"/>
      </w:divBdr>
    </w:div>
    <w:div w:id="1520773479">
      <w:bodyDiv w:val="1"/>
      <w:marLeft w:val="0"/>
      <w:marRight w:val="0"/>
      <w:marTop w:val="0"/>
      <w:marBottom w:val="0"/>
      <w:divBdr>
        <w:top w:val="none" w:sz="0" w:space="0" w:color="auto"/>
        <w:left w:val="none" w:sz="0" w:space="0" w:color="auto"/>
        <w:bottom w:val="none" w:sz="0" w:space="0" w:color="auto"/>
        <w:right w:val="none" w:sz="0" w:space="0" w:color="auto"/>
      </w:divBdr>
    </w:div>
    <w:div w:id="1522549653">
      <w:bodyDiv w:val="1"/>
      <w:marLeft w:val="0"/>
      <w:marRight w:val="0"/>
      <w:marTop w:val="0"/>
      <w:marBottom w:val="0"/>
      <w:divBdr>
        <w:top w:val="none" w:sz="0" w:space="0" w:color="auto"/>
        <w:left w:val="none" w:sz="0" w:space="0" w:color="auto"/>
        <w:bottom w:val="none" w:sz="0" w:space="0" w:color="auto"/>
        <w:right w:val="none" w:sz="0" w:space="0" w:color="auto"/>
      </w:divBdr>
    </w:div>
    <w:div w:id="1524127009">
      <w:bodyDiv w:val="1"/>
      <w:marLeft w:val="0"/>
      <w:marRight w:val="0"/>
      <w:marTop w:val="0"/>
      <w:marBottom w:val="0"/>
      <w:divBdr>
        <w:top w:val="none" w:sz="0" w:space="0" w:color="auto"/>
        <w:left w:val="none" w:sz="0" w:space="0" w:color="auto"/>
        <w:bottom w:val="none" w:sz="0" w:space="0" w:color="auto"/>
        <w:right w:val="none" w:sz="0" w:space="0" w:color="auto"/>
      </w:divBdr>
    </w:div>
    <w:div w:id="1530996353">
      <w:bodyDiv w:val="1"/>
      <w:marLeft w:val="0"/>
      <w:marRight w:val="0"/>
      <w:marTop w:val="0"/>
      <w:marBottom w:val="0"/>
      <w:divBdr>
        <w:top w:val="none" w:sz="0" w:space="0" w:color="auto"/>
        <w:left w:val="none" w:sz="0" w:space="0" w:color="auto"/>
        <w:bottom w:val="none" w:sz="0" w:space="0" w:color="auto"/>
        <w:right w:val="none" w:sz="0" w:space="0" w:color="auto"/>
      </w:divBdr>
    </w:div>
    <w:div w:id="1535195939">
      <w:bodyDiv w:val="1"/>
      <w:marLeft w:val="0"/>
      <w:marRight w:val="0"/>
      <w:marTop w:val="0"/>
      <w:marBottom w:val="0"/>
      <w:divBdr>
        <w:top w:val="none" w:sz="0" w:space="0" w:color="auto"/>
        <w:left w:val="none" w:sz="0" w:space="0" w:color="auto"/>
        <w:bottom w:val="none" w:sz="0" w:space="0" w:color="auto"/>
        <w:right w:val="none" w:sz="0" w:space="0" w:color="auto"/>
      </w:divBdr>
    </w:div>
    <w:div w:id="1537348354">
      <w:bodyDiv w:val="1"/>
      <w:marLeft w:val="0"/>
      <w:marRight w:val="0"/>
      <w:marTop w:val="0"/>
      <w:marBottom w:val="0"/>
      <w:divBdr>
        <w:top w:val="none" w:sz="0" w:space="0" w:color="auto"/>
        <w:left w:val="none" w:sz="0" w:space="0" w:color="auto"/>
        <w:bottom w:val="none" w:sz="0" w:space="0" w:color="auto"/>
        <w:right w:val="none" w:sz="0" w:space="0" w:color="auto"/>
      </w:divBdr>
    </w:div>
    <w:div w:id="1559167505">
      <w:bodyDiv w:val="1"/>
      <w:marLeft w:val="0"/>
      <w:marRight w:val="0"/>
      <w:marTop w:val="0"/>
      <w:marBottom w:val="0"/>
      <w:divBdr>
        <w:top w:val="none" w:sz="0" w:space="0" w:color="auto"/>
        <w:left w:val="none" w:sz="0" w:space="0" w:color="auto"/>
        <w:bottom w:val="none" w:sz="0" w:space="0" w:color="auto"/>
        <w:right w:val="none" w:sz="0" w:space="0" w:color="auto"/>
      </w:divBdr>
    </w:div>
    <w:div w:id="1565994882">
      <w:bodyDiv w:val="1"/>
      <w:marLeft w:val="0"/>
      <w:marRight w:val="0"/>
      <w:marTop w:val="0"/>
      <w:marBottom w:val="0"/>
      <w:divBdr>
        <w:top w:val="none" w:sz="0" w:space="0" w:color="auto"/>
        <w:left w:val="none" w:sz="0" w:space="0" w:color="auto"/>
        <w:bottom w:val="none" w:sz="0" w:space="0" w:color="auto"/>
        <w:right w:val="none" w:sz="0" w:space="0" w:color="auto"/>
      </w:divBdr>
    </w:div>
    <w:div w:id="1576165810">
      <w:bodyDiv w:val="1"/>
      <w:marLeft w:val="0"/>
      <w:marRight w:val="0"/>
      <w:marTop w:val="0"/>
      <w:marBottom w:val="0"/>
      <w:divBdr>
        <w:top w:val="none" w:sz="0" w:space="0" w:color="auto"/>
        <w:left w:val="none" w:sz="0" w:space="0" w:color="auto"/>
        <w:bottom w:val="none" w:sz="0" w:space="0" w:color="auto"/>
        <w:right w:val="none" w:sz="0" w:space="0" w:color="auto"/>
      </w:divBdr>
    </w:div>
    <w:div w:id="1595550451">
      <w:bodyDiv w:val="1"/>
      <w:marLeft w:val="0"/>
      <w:marRight w:val="0"/>
      <w:marTop w:val="0"/>
      <w:marBottom w:val="0"/>
      <w:divBdr>
        <w:top w:val="none" w:sz="0" w:space="0" w:color="auto"/>
        <w:left w:val="none" w:sz="0" w:space="0" w:color="auto"/>
        <w:bottom w:val="none" w:sz="0" w:space="0" w:color="auto"/>
        <w:right w:val="none" w:sz="0" w:space="0" w:color="auto"/>
      </w:divBdr>
    </w:div>
    <w:div w:id="1602765221">
      <w:bodyDiv w:val="1"/>
      <w:marLeft w:val="0"/>
      <w:marRight w:val="0"/>
      <w:marTop w:val="0"/>
      <w:marBottom w:val="0"/>
      <w:divBdr>
        <w:top w:val="none" w:sz="0" w:space="0" w:color="auto"/>
        <w:left w:val="none" w:sz="0" w:space="0" w:color="auto"/>
        <w:bottom w:val="none" w:sz="0" w:space="0" w:color="auto"/>
        <w:right w:val="none" w:sz="0" w:space="0" w:color="auto"/>
      </w:divBdr>
    </w:div>
    <w:div w:id="1639912641">
      <w:bodyDiv w:val="1"/>
      <w:marLeft w:val="0"/>
      <w:marRight w:val="0"/>
      <w:marTop w:val="0"/>
      <w:marBottom w:val="0"/>
      <w:divBdr>
        <w:top w:val="none" w:sz="0" w:space="0" w:color="auto"/>
        <w:left w:val="none" w:sz="0" w:space="0" w:color="auto"/>
        <w:bottom w:val="none" w:sz="0" w:space="0" w:color="auto"/>
        <w:right w:val="none" w:sz="0" w:space="0" w:color="auto"/>
      </w:divBdr>
    </w:div>
    <w:div w:id="1660769868">
      <w:bodyDiv w:val="1"/>
      <w:marLeft w:val="0"/>
      <w:marRight w:val="0"/>
      <w:marTop w:val="0"/>
      <w:marBottom w:val="0"/>
      <w:divBdr>
        <w:top w:val="none" w:sz="0" w:space="0" w:color="auto"/>
        <w:left w:val="none" w:sz="0" w:space="0" w:color="auto"/>
        <w:bottom w:val="none" w:sz="0" w:space="0" w:color="auto"/>
        <w:right w:val="none" w:sz="0" w:space="0" w:color="auto"/>
      </w:divBdr>
    </w:div>
    <w:div w:id="1670675781">
      <w:bodyDiv w:val="1"/>
      <w:marLeft w:val="0"/>
      <w:marRight w:val="0"/>
      <w:marTop w:val="0"/>
      <w:marBottom w:val="0"/>
      <w:divBdr>
        <w:top w:val="none" w:sz="0" w:space="0" w:color="auto"/>
        <w:left w:val="none" w:sz="0" w:space="0" w:color="auto"/>
        <w:bottom w:val="none" w:sz="0" w:space="0" w:color="auto"/>
        <w:right w:val="none" w:sz="0" w:space="0" w:color="auto"/>
      </w:divBdr>
    </w:div>
    <w:div w:id="1671983351">
      <w:bodyDiv w:val="1"/>
      <w:marLeft w:val="0"/>
      <w:marRight w:val="0"/>
      <w:marTop w:val="0"/>
      <w:marBottom w:val="0"/>
      <w:divBdr>
        <w:top w:val="none" w:sz="0" w:space="0" w:color="auto"/>
        <w:left w:val="none" w:sz="0" w:space="0" w:color="auto"/>
        <w:bottom w:val="none" w:sz="0" w:space="0" w:color="auto"/>
        <w:right w:val="none" w:sz="0" w:space="0" w:color="auto"/>
      </w:divBdr>
    </w:div>
    <w:div w:id="1691639002">
      <w:bodyDiv w:val="1"/>
      <w:marLeft w:val="0"/>
      <w:marRight w:val="0"/>
      <w:marTop w:val="0"/>
      <w:marBottom w:val="0"/>
      <w:divBdr>
        <w:top w:val="none" w:sz="0" w:space="0" w:color="auto"/>
        <w:left w:val="none" w:sz="0" w:space="0" w:color="auto"/>
        <w:bottom w:val="none" w:sz="0" w:space="0" w:color="auto"/>
        <w:right w:val="none" w:sz="0" w:space="0" w:color="auto"/>
      </w:divBdr>
    </w:div>
    <w:div w:id="1739282565">
      <w:bodyDiv w:val="1"/>
      <w:marLeft w:val="0"/>
      <w:marRight w:val="0"/>
      <w:marTop w:val="0"/>
      <w:marBottom w:val="0"/>
      <w:divBdr>
        <w:top w:val="none" w:sz="0" w:space="0" w:color="auto"/>
        <w:left w:val="none" w:sz="0" w:space="0" w:color="auto"/>
        <w:bottom w:val="none" w:sz="0" w:space="0" w:color="auto"/>
        <w:right w:val="none" w:sz="0" w:space="0" w:color="auto"/>
      </w:divBdr>
    </w:div>
    <w:div w:id="1751460737">
      <w:bodyDiv w:val="1"/>
      <w:marLeft w:val="0"/>
      <w:marRight w:val="0"/>
      <w:marTop w:val="0"/>
      <w:marBottom w:val="0"/>
      <w:divBdr>
        <w:top w:val="none" w:sz="0" w:space="0" w:color="auto"/>
        <w:left w:val="none" w:sz="0" w:space="0" w:color="auto"/>
        <w:bottom w:val="none" w:sz="0" w:space="0" w:color="auto"/>
        <w:right w:val="none" w:sz="0" w:space="0" w:color="auto"/>
      </w:divBdr>
    </w:div>
    <w:div w:id="1795053219">
      <w:bodyDiv w:val="1"/>
      <w:marLeft w:val="0"/>
      <w:marRight w:val="0"/>
      <w:marTop w:val="0"/>
      <w:marBottom w:val="0"/>
      <w:divBdr>
        <w:top w:val="none" w:sz="0" w:space="0" w:color="auto"/>
        <w:left w:val="none" w:sz="0" w:space="0" w:color="auto"/>
        <w:bottom w:val="none" w:sz="0" w:space="0" w:color="auto"/>
        <w:right w:val="none" w:sz="0" w:space="0" w:color="auto"/>
      </w:divBdr>
    </w:div>
    <w:div w:id="1799494530">
      <w:bodyDiv w:val="1"/>
      <w:marLeft w:val="0"/>
      <w:marRight w:val="0"/>
      <w:marTop w:val="0"/>
      <w:marBottom w:val="0"/>
      <w:divBdr>
        <w:top w:val="none" w:sz="0" w:space="0" w:color="auto"/>
        <w:left w:val="none" w:sz="0" w:space="0" w:color="auto"/>
        <w:bottom w:val="none" w:sz="0" w:space="0" w:color="auto"/>
        <w:right w:val="none" w:sz="0" w:space="0" w:color="auto"/>
      </w:divBdr>
    </w:div>
    <w:div w:id="1828130656">
      <w:bodyDiv w:val="1"/>
      <w:marLeft w:val="0"/>
      <w:marRight w:val="0"/>
      <w:marTop w:val="0"/>
      <w:marBottom w:val="0"/>
      <w:divBdr>
        <w:top w:val="none" w:sz="0" w:space="0" w:color="auto"/>
        <w:left w:val="none" w:sz="0" w:space="0" w:color="auto"/>
        <w:bottom w:val="none" w:sz="0" w:space="0" w:color="auto"/>
        <w:right w:val="none" w:sz="0" w:space="0" w:color="auto"/>
      </w:divBdr>
    </w:div>
    <w:div w:id="1839270157">
      <w:bodyDiv w:val="1"/>
      <w:marLeft w:val="0"/>
      <w:marRight w:val="0"/>
      <w:marTop w:val="0"/>
      <w:marBottom w:val="0"/>
      <w:divBdr>
        <w:top w:val="none" w:sz="0" w:space="0" w:color="auto"/>
        <w:left w:val="none" w:sz="0" w:space="0" w:color="auto"/>
        <w:bottom w:val="none" w:sz="0" w:space="0" w:color="auto"/>
        <w:right w:val="none" w:sz="0" w:space="0" w:color="auto"/>
      </w:divBdr>
    </w:div>
    <w:div w:id="1866408380">
      <w:bodyDiv w:val="1"/>
      <w:marLeft w:val="0"/>
      <w:marRight w:val="0"/>
      <w:marTop w:val="0"/>
      <w:marBottom w:val="0"/>
      <w:divBdr>
        <w:top w:val="none" w:sz="0" w:space="0" w:color="auto"/>
        <w:left w:val="none" w:sz="0" w:space="0" w:color="auto"/>
        <w:bottom w:val="none" w:sz="0" w:space="0" w:color="auto"/>
        <w:right w:val="none" w:sz="0" w:space="0" w:color="auto"/>
      </w:divBdr>
    </w:div>
    <w:div w:id="1880698318">
      <w:bodyDiv w:val="1"/>
      <w:marLeft w:val="0"/>
      <w:marRight w:val="0"/>
      <w:marTop w:val="0"/>
      <w:marBottom w:val="0"/>
      <w:divBdr>
        <w:top w:val="none" w:sz="0" w:space="0" w:color="auto"/>
        <w:left w:val="none" w:sz="0" w:space="0" w:color="auto"/>
        <w:bottom w:val="none" w:sz="0" w:space="0" w:color="auto"/>
        <w:right w:val="none" w:sz="0" w:space="0" w:color="auto"/>
      </w:divBdr>
    </w:div>
    <w:div w:id="1882012516">
      <w:bodyDiv w:val="1"/>
      <w:marLeft w:val="0"/>
      <w:marRight w:val="0"/>
      <w:marTop w:val="0"/>
      <w:marBottom w:val="0"/>
      <w:divBdr>
        <w:top w:val="none" w:sz="0" w:space="0" w:color="auto"/>
        <w:left w:val="none" w:sz="0" w:space="0" w:color="auto"/>
        <w:bottom w:val="none" w:sz="0" w:space="0" w:color="auto"/>
        <w:right w:val="none" w:sz="0" w:space="0" w:color="auto"/>
      </w:divBdr>
    </w:div>
    <w:div w:id="1891573389">
      <w:bodyDiv w:val="1"/>
      <w:marLeft w:val="0"/>
      <w:marRight w:val="0"/>
      <w:marTop w:val="0"/>
      <w:marBottom w:val="0"/>
      <w:divBdr>
        <w:top w:val="none" w:sz="0" w:space="0" w:color="auto"/>
        <w:left w:val="none" w:sz="0" w:space="0" w:color="auto"/>
        <w:bottom w:val="none" w:sz="0" w:space="0" w:color="auto"/>
        <w:right w:val="none" w:sz="0" w:space="0" w:color="auto"/>
      </w:divBdr>
    </w:div>
    <w:div w:id="1897811741">
      <w:bodyDiv w:val="1"/>
      <w:marLeft w:val="0"/>
      <w:marRight w:val="0"/>
      <w:marTop w:val="0"/>
      <w:marBottom w:val="0"/>
      <w:divBdr>
        <w:top w:val="none" w:sz="0" w:space="0" w:color="auto"/>
        <w:left w:val="none" w:sz="0" w:space="0" w:color="auto"/>
        <w:bottom w:val="none" w:sz="0" w:space="0" w:color="auto"/>
        <w:right w:val="none" w:sz="0" w:space="0" w:color="auto"/>
      </w:divBdr>
    </w:div>
    <w:div w:id="1900894216">
      <w:bodyDiv w:val="1"/>
      <w:marLeft w:val="0"/>
      <w:marRight w:val="0"/>
      <w:marTop w:val="0"/>
      <w:marBottom w:val="0"/>
      <w:divBdr>
        <w:top w:val="none" w:sz="0" w:space="0" w:color="auto"/>
        <w:left w:val="none" w:sz="0" w:space="0" w:color="auto"/>
        <w:bottom w:val="none" w:sz="0" w:space="0" w:color="auto"/>
        <w:right w:val="none" w:sz="0" w:space="0" w:color="auto"/>
      </w:divBdr>
    </w:div>
    <w:div w:id="1910385997">
      <w:bodyDiv w:val="1"/>
      <w:marLeft w:val="0"/>
      <w:marRight w:val="0"/>
      <w:marTop w:val="0"/>
      <w:marBottom w:val="0"/>
      <w:divBdr>
        <w:top w:val="none" w:sz="0" w:space="0" w:color="auto"/>
        <w:left w:val="none" w:sz="0" w:space="0" w:color="auto"/>
        <w:bottom w:val="none" w:sz="0" w:space="0" w:color="auto"/>
        <w:right w:val="none" w:sz="0" w:space="0" w:color="auto"/>
      </w:divBdr>
    </w:div>
    <w:div w:id="1910773650">
      <w:bodyDiv w:val="1"/>
      <w:marLeft w:val="0"/>
      <w:marRight w:val="0"/>
      <w:marTop w:val="0"/>
      <w:marBottom w:val="0"/>
      <w:divBdr>
        <w:top w:val="none" w:sz="0" w:space="0" w:color="auto"/>
        <w:left w:val="none" w:sz="0" w:space="0" w:color="auto"/>
        <w:bottom w:val="none" w:sz="0" w:space="0" w:color="auto"/>
        <w:right w:val="none" w:sz="0" w:space="0" w:color="auto"/>
      </w:divBdr>
    </w:div>
    <w:div w:id="1923949718">
      <w:bodyDiv w:val="1"/>
      <w:marLeft w:val="0"/>
      <w:marRight w:val="0"/>
      <w:marTop w:val="0"/>
      <w:marBottom w:val="0"/>
      <w:divBdr>
        <w:top w:val="none" w:sz="0" w:space="0" w:color="auto"/>
        <w:left w:val="none" w:sz="0" w:space="0" w:color="auto"/>
        <w:bottom w:val="none" w:sz="0" w:space="0" w:color="auto"/>
        <w:right w:val="none" w:sz="0" w:space="0" w:color="auto"/>
      </w:divBdr>
    </w:div>
    <w:div w:id="1938056095">
      <w:bodyDiv w:val="1"/>
      <w:marLeft w:val="0"/>
      <w:marRight w:val="0"/>
      <w:marTop w:val="0"/>
      <w:marBottom w:val="0"/>
      <w:divBdr>
        <w:top w:val="none" w:sz="0" w:space="0" w:color="auto"/>
        <w:left w:val="none" w:sz="0" w:space="0" w:color="auto"/>
        <w:bottom w:val="none" w:sz="0" w:space="0" w:color="auto"/>
        <w:right w:val="none" w:sz="0" w:space="0" w:color="auto"/>
      </w:divBdr>
    </w:div>
    <w:div w:id="1952318841">
      <w:bodyDiv w:val="1"/>
      <w:marLeft w:val="0"/>
      <w:marRight w:val="0"/>
      <w:marTop w:val="0"/>
      <w:marBottom w:val="0"/>
      <w:divBdr>
        <w:top w:val="none" w:sz="0" w:space="0" w:color="auto"/>
        <w:left w:val="none" w:sz="0" w:space="0" w:color="auto"/>
        <w:bottom w:val="none" w:sz="0" w:space="0" w:color="auto"/>
        <w:right w:val="none" w:sz="0" w:space="0" w:color="auto"/>
      </w:divBdr>
    </w:div>
    <w:div w:id="1981685025">
      <w:bodyDiv w:val="1"/>
      <w:marLeft w:val="0"/>
      <w:marRight w:val="0"/>
      <w:marTop w:val="0"/>
      <w:marBottom w:val="0"/>
      <w:divBdr>
        <w:top w:val="none" w:sz="0" w:space="0" w:color="auto"/>
        <w:left w:val="none" w:sz="0" w:space="0" w:color="auto"/>
        <w:bottom w:val="none" w:sz="0" w:space="0" w:color="auto"/>
        <w:right w:val="none" w:sz="0" w:space="0" w:color="auto"/>
      </w:divBdr>
    </w:div>
    <w:div w:id="2011636798">
      <w:bodyDiv w:val="1"/>
      <w:marLeft w:val="0"/>
      <w:marRight w:val="0"/>
      <w:marTop w:val="0"/>
      <w:marBottom w:val="0"/>
      <w:divBdr>
        <w:top w:val="none" w:sz="0" w:space="0" w:color="auto"/>
        <w:left w:val="none" w:sz="0" w:space="0" w:color="auto"/>
        <w:bottom w:val="none" w:sz="0" w:space="0" w:color="auto"/>
        <w:right w:val="none" w:sz="0" w:space="0" w:color="auto"/>
      </w:divBdr>
    </w:div>
    <w:div w:id="2037848274">
      <w:bodyDiv w:val="1"/>
      <w:marLeft w:val="0"/>
      <w:marRight w:val="0"/>
      <w:marTop w:val="0"/>
      <w:marBottom w:val="0"/>
      <w:divBdr>
        <w:top w:val="none" w:sz="0" w:space="0" w:color="auto"/>
        <w:left w:val="none" w:sz="0" w:space="0" w:color="auto"/>
        <w:bottom w:val="none" w:sz="0" w:space="0" w:color="auto"/>
        <w:right w:val="none" w:sz="0" w:space="0" w:color="auto"/>
      </w:divBdr>
    </w:div>
    <w:div w:id="2045709207">
      <w:bodyDiv w:val="1"/>
      <w:marLeft w:val="0"/>
      <w:marRight w:val="0"/>
      <w:marTop w:val="0"/>
      <w:marBottom w:val="0"/>
      <w:divBdr>
        <w:top w:val="none" w:sz="0" w:space="0" w:color="auto"/>
        <w:left w:val="none" w:sz="0" w:space="0" w:color="auto"/>
        <w:bottom w:val="none" w:sz="0" w:space="0" w:color="auto"/>
        <w:right w:val="none" w:sz="0" w:space="0" w:color="auto"/>
      </w:divBdr>
    </w:div>
    <w:div w:id="2080057847">
      <w:bodyDiv w:val="1"/>
      <w:marLeft w:val="0"/>
      <w:marRight w:val="0"/>
      <w:marTop w:val="0"/>
      <w:marBottom w:val="0"/>
      <w:divBdr>
        <w:top w:val="none" w:sz="0" w:space="0" w:color="auto"/>
        <w:left w:val="none" w:sz="0" w:space="0" w:color="auto"/>
        <w:bottom w:val="none" w:sz="0" w:space="0" w:color="auto"/>
        <w:right w:val="none" w:sz="0" w:space="0" w:color="auto"/>
      </w:divBdr>
    </w:div>
    <w:div w:id="2086105290">
      <w:bodyDiv w:val="1"/>
      <w:marLeft w:val="0"/>
      <w:marRight w:val="0"/>
      <w:marTop w:val="0"/>
      <w:marBottom w:val="0"/>
      <w:divBdr>
        <w:top w:val="none" w:sz="0" w:space="0" w:color="auto"/>
        <w:left w:val="none" w:sz="0" w:space="0" w:color="auto"/>
        <w:bottom w:val="none" w:sz="0" w:space="0" w:color="auto"/>
        <w:right w:val="none" w:sz="0" w:space="0" w:color="auto"/>
      </w:divBdr>
    </w:div>
    <w:div w:id="2088845322">
      <w:bodyDiv w:val="1"/>
      <w:marLeft w:val="0"/>
      <w:marRight w:val="0"/>
      <w:marTop w:val="0"/>
      <w:marBottom w:val="0"/>
      <w:divBdr>
        <w:top w:val="none" w:sz="0" w:space="0" w:color="auto"/>
        <w:left w:val="none" w:sz="0" w:space="0" w:color="auto"/>
        <w:bottom w:val="none" w:sz="0" w:space="0" w:color="auto"/>
        <w:right w:val="none" w:sz="0" w:space="0" w:color="auto"/>
      </w:divBdr>
    </w:div>
    <w:div w:id="2091190846">
      <w:bodyDiv w:val="1"/>
      <w:marLeft w:val="0"/>
      <w:marRight w:val="0"/>
      <w:marTop w:val="0"/>
      <w:marBottom w:val="0"/>
      <w:divBdr>
        <w:top w:val="none" w:sz="0" w:space="0" w:color="auto"/>
        <w:left w:val="none" w:sz="0" w:space="0" w:color="auto"/>
        <w:bottom w:val="none" w:sz="0" w:space="0" w:color="auto"/>
        <w:right w:val="none" w:sz="0" w:space="0" w:color="auto"/>
      </w:divBdr>
    </w:div>
    <w:div w:id="2094006821">
      <w:bodyDiv w:val="1"/>
      <w:marLeft w:val="0"/>
      <w:marRight w:val="0"/>
      <w:marTop w:val="0"/>
      <w:marBottom w:val="0"/>
      <w:divBdr>
        <w:top w:val="none" w:sz="0" w:space="0" w:color="auto"/>
        <w:left w:val="none" w:sz="0" w:space="0" w:color="auto"/>
        <w:bottom w:val="none" w:sz="0" w:space="0" w:color="auto"/>
        <w:right w:val="none" w:sz="0" w:space="0" w:color="auto"/>
      </w:divBdr>
    </w:div>
    <w:div w:id="2104379765">
      <w:bodyDiv w:val="1"/>
      <w:marLeft w:val="0"/>
      <w:marRight w:val="0"/>
      <w:marTop w:val="0"/>
      <w:marBottom w:val="0"/>
      <w:divBdr>
        <w:top w:val="none" w:sz="0" w:space="0" w:color="auto"/>
        <w:left w:val="none" w:sz="0" w:space="0" w:color="auto"/>
        <w:bottom w:val="none" w:sz="0" w:space="0" w:color="auto"/>
        <w:right w:val="none" w:sz="0" w:space="0" w:color="auto"/>
      </w:divBdr>
    </w:div>
    <w:div w:id="2117406913">
      <w:bodyDiv w:val="1"/>
      <w:marLeft w:val="0"/>
      <w:marRight w:val="0"/>
      <w:marTop w:val="0"/>
      <w:marBottom w:val="0"/>
      <w:divBdr>
        <w:top w:val="none" w:sz="0" w:space="0" w:color="auto"/>
        <w:left w:val="none" w:sz="0" w:space="0" w:color="auto"/>
        <w:bottom w:val="none" w:sz="0" w:space="0" w:color="auto"/>
        <w:right w:val="none" w:sz="0" w:space="0" w:color="auto"/>
      </w:divBdr>
    </w:div>
    <w:div w:id="2120904725">
      <w:bodyDiv w:val="1"/>
      <w:marLeft w:val="0"/>
      <w:marRight w:val="0"/>
      <w:marTop w:val="0"/>
      <w:marBottom w:val="0"/>
      <w:divBdr>
        <w:top w:val="none" w:sz="0" w:space="0" w:color="auto"/>
        <w:left w:val="none" w:sz="0" w:space="0" w:color="auto"/>
        <w:bottom w:val="none" w:sz="0" w:space="0" w:color="auto"/>
        <w:right w:val="none" w:sz="0" w:space="0" w:color="auto"/>
      </w:divBdr>
    </w:div>
    <w:div w:id="2137605185">
      <w:bodyDiv w:val="1"/>
      <w:marLeft w:val="0"/>
      <w:marRight w:val="0"/>
      <w:marTop w:val="0"/>
      <w:marBottom w:val="0"/>
      <w:divBdr>
        <w:top w:val="none" w:sz="0" w:space="0" w:color="auto"/>
        <w:left w:val="none" w:sz="0" w:space="0" w:color="auto"/>
        <w:bottom w:val="none" w:sz="0" w:space="0" w:color="auto"/>
        <w:right w:val="none" w:sz="0" w:space="0" w:color="auto"/>
      </w:divBdr>
    </w:div>
    <w:div w:id="2146653643">
      <w:bodyDiv w:val="1"/>
      <w:marLeft w:val="0"/>
      <w:marRight w:val="0"/>
      <w:marTop w:val="0"/>
      <w:marBottom w:val="0"/>
      <w:divBdr>
        <w:top w:val="none" w:sz="0" w:space="0" w:color="auto"/>
        <w:left w:val="none" w:sz="0" w:space="0" w:color="auto"/>
        <w:bottom w:val="none" w:sz="0" w:space="0" w:color="auto"/>
        <w:right w:val="none" w:sz="0" w:space="0" w:color="auto"/>
      </w:divBdr>
      <w:divsChild>
        <w:div w:id="1863401630">
          <w:marLeft w:val="0"/>
          <w:marRight w:val="0"/>
          <w:marTop w:val="0"/>
          <w:marBottom w:val="0"/>
          <w:divBdr>
            <w:top w:val="none" w:sz="0" w:space="0" w:color="auto"/>
            <w:left w:val="none" w:sz="0" w:space="0" w:color="auto"/>
            <w:bottom w:val="none" w:sz="0" w:space="0" w:color="auto"/>
            <w:right w:val="none" w:sz="0" w:space="0" w:color="auto"/>
          </w:divBdr>
          <w:divsChild>
            <w:div w:id="1388262363">
              <w:marLeft w:val="0"/>
              <w:marRight w:val="0"/>
              <w:marTop w:val="0"/>
              <w:marBottom w:val="0"/>
              <w:divBdr>
                <w:top w:val="none" w:sz="0" w:space="0" w:color="auto"/>
                <w:left w:val="none" w:sz="0" w:space="0" w:color="auto"/>
                <w:bottom w:val="none" w:sz="0" w:space="0" w:color="auto"/>
                <w:right w:val="none" w:sz="0" w:space="0" w:color="auto"/>
              </w:divBdr>
              <w:divsChild>
                <w:div w:id="1467043401">
                  <w:marLeft w:val="0"/>
                  <w:marRight w:val="0"/>
                  <w:marTop w:val="105"/>
                  <w:marBottom w:val="0"/>
                  <w:divBdr>
                    <w:top w:val="none" w:sz="0" w:space="0" w:color="auto"/>
                    <w:left w:val="none" w:sz="0" w:space="0" w:color="auto"/>
                    <w:bottom w:val="none" w:sz="0" w:space="0" w:color="auto"/>
                    <w:right w:val="none" w:sz="0" w:space="0" w:color="auto"/>
                  </w:divBdr>
                  <w:divsChild>
                    <w:div w:id="1488787647">
                      <w:marLeft w:val="450"/>
                      <w:marRight w:val="225"/>
                      <w:marTop w:val="0"/>
                      <w:marBottom w:val="0"/>
                      <w:divBdr>
                        <w:top w:val="none" w:sz="0" w:space="0" w:color="auto"/>
                        <w:left w:val="none" w:sz="0" w:space="0" w:color="auto"/>
                        <w:bottom w:val="none" w:sz="0" w:space="0" w:color="auto"/>
                        <w:right w:val="none" w:sz="0" w:space="0" w:color="auto"/>
                      </w:divBdr>
                      <w:divsChild>
                        <w:div w:id="1506821557">
                          <w:marLeft w:val="0"/>
                          <w:marRight w:val="0"/>
                          <w:marTop w:val="0"/>
                          <w:marBottom w:val="600"/>
                          <w:divBdr>
                            <w:top w:val="single" w:sz="6" w:space="0" w:color="314664"/>
                            <w:left w:val="single" w:sz="6" w:space="0" w:color="314664"/>
                            <w:bottom w:val="single" w:sz="6" w:space="0" w:color="314664"/>
                            <w:right w:val="single" w:sz="6" w:space="0" w:color="314664"/>
                          </w:divBdr>
                          <w:divsChild>
                            <w:div w:id="834031500">
                              <w:marLeft w:val="0"/>
                              <w:marRight w:val="0"/>
                              <w:marTop w:val="0"/>
                              <w:marBottom w:val="0"/>
                              <w:divBdr>
                                <w:top w:val="none" w:sz="0" w:space="0" w:color="auto"/>
                                <w:left w:val="none" w:sz="0" w:space="0" w:color="auto"/>
                                <w:bottom w:val="none" w:sz="0" w:space="0" w:color="auto"/>
                                <w:right w:val="none" w:sz="0" w:space="0" w:color="auto"/>
                              </w:divBdr>
                              <w:divsChild>
                                <w:div w:id="1054543137">
                                  <w:marLeft w:val="0"/>
                                  <w:marRight w:val="0"/>
                                  <w:marTop w:val="0"/>
                                  <w:marBottom w:val="0"/>
                                  <w:divBdr>
                                    <w:top w:val="none" w:sz="0" w:space="0" w:color="auto"/>
                                    <w:left w:val="none" w:sz="0" w:space="0" w:color="auto"/>
                                    <w:bottom w:val="none" w:sz="0" w:space="0" w:color="auto"/>
                                    <w:right w:val="none" w:sz="0" w:space="0" w:color="auto"/>
                                  </w:divBdr>
                                  <w:divsChild>
                                    <w:div w:id="924455775">
                                      <w:marLeft w:val="0"/>
                                      <w:marRight w:val="0"/>
                                      <w:marTop w:val="0"/>
                                      <w:marBottom w:val="0"/>
                                      <w:divBdr>
                                        <w:top w:val="none" w:sz="0" w:space="0" w:color="auto"/>
                                        <w:left w:val="none" w:sz="0" w:space="0" w:color="auto"/>
                                        <w:bottom w:val="none" w:sz="0" w:space="0" w:color="auto"/>
                                        <w:right w:val="none" w:sz="0" w:space="0" w:color="auto"/>
                                      </w:divBdr>
                                      <w:divsChild>
                                        <w:div w:id="2009090668">
                                          <w:marLeft w:val="0"/>
                                          <w:marRight w:val="0"/>
                                          <w:marTop w:val="0"/>
                                          <w:marBottom w:val="0"/>
                                          <w:divBdr>
                                            <w:top w:val="none" w:sz="0" w:space="0" w:color="auto"/>
                                            <w:left w:val="none" w:sz="0" w:space="0" w:color="auto"/>
                                            <w:bottom w:val="none" w:sz="0" w:space="0" w:color="auto"/>
                                            <w:right w:val="none" w:sz="0" w:space="0" w:color="auto"/>
                                          </w:divBdr>
                                          <w:divsChild>
                                            <w:div w:id="1249656619">
                                              <w:marLeft w:val="0"/>
                                              <w:marRight w:val="0"/>
                                              <w:marTop w:val="0"/>
                                              <w:marBottom w:val="0"/>
                                              <w:divBdr>
                                                <w:top w:val="none" w:sz="0" w:space="0" w:color="auto"/>
                                                <w:left w:val="none" w:sz="0" w:space="0" w:color="auto"/>
                                                <w:bottom w:val="none" w:sz="0" w:space="0" w:color="auto"/>
                                                <w:right w:val="none" w:sz="0" w:space="0" w:color="auto"/>
                                              </w:divBdr>
                                              <w:divsChild>
                                                <w:div w:id="12150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parliament.nz/resource/en-NZ/54SCEDUW_EVI_65445e46-256b-4800-37f2-08de25831691_EDUW15781/4df476ca3d6f2d6bc2e0d2a95b17b8651f95f21f" TargetMode="External"/><Relationship Id="rId13" Type="http://schemas.openxmlformats.org/officeDocument/2006/relationships/hyperlink" Target="http://www.panui.co.nz"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justice.govt.nz/justice-sector-policy/constitutional-issues-and-human-rights/independent-electoral-review/"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parliament.nz/en/pb/sc/make-a-submission/document/54SCENV_SCF_BA467863-D6B0-4968-1027-08DE369D9192/planning-bill-and-natural-environment-bil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bills.parliament.nz/v/Bill/65445e46-256b-4800-37f2-08de25831691?lang=e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3.parliament.nz/resource/en-NZ/54SCEDUW_EVI_65445e46-256b-4800-37f2-08de25831691_EDUW16054/a928933b21c50900dbad61336ae6d287ee3e1261"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regulation.govt.nz/our-work/regulatory-impact-statements/regulatory-impact-statement-establishing-enduring-goals-or-objectives-for-education-for-children-and-young-people-aged-0-to-1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ED63E-312F-46D5-A946-911153090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9376</Words>
  <Characters>53447</Characters>
  <Application>Microsoft Office Word</Application>
  <DocSecurity>4</DocSecurity>
  <Lines>445</Lines>
  <Paragraphs>125</Paragraphs>
  <ScaleCrop>false</ScaleCrop>
  <HeadingPairs>
    <vt:vector size="2" baseType="variant">
      <vt:variant>
        <vt:lpstr>Title</vt:lpstr>
      </vt:variant>
      <vt:variant>
        <vt:i4>1</vt:i4>
      </vt:variant>
    </vt:vector>
  </HeadingPairs>
  <TitlesOfParts>
    <vt:vector size="1" baseType="lpstr">
      <vt:lpstr>2023 Quarterly Briefing</vt:lpstr>
    </vt:vector>
  </TitlesOfParts>
  <Company>WE Ltd</Company>
  <LinksUpToDate>false</LinksUpToDate>
  <CharactersWithSpaces>62698</CharactersWithSpaces>
  <SharedDoc>false</SharedDoc>
  <HLinks>
    <vt:vector size="72" baseType="variant">
      <vt:variant>
        <vt:i4>7012459</vt:i4>
      </vt:variant>
      <vt:variant>
        <vt:i4>30</vt:i4>
      </vt:variant>
      <vt:variant>
        <vt:i4>0</vt:i4>
      </vt:variant>
      <vt:variant>
        <vt:i4>5</vt:i4>
      </vt:variant>
      <vt:variant>
        <vt:lpwstr>http://www.panui.co.nz/</vt:lpwstr>
      </vt:variant>
      <vt:variant>
        <vt:lpwstr/>
      </vt:variant>
      <vt:variant>
        <vt:i4>3473465</vt:i4>
      </vt:variant>
      <vt:variant>
        <vt:i4>27</vt:i4>
      </vt:variant>
      <vt:variant>
        <vt:i4>0</vt:i4>
      </vt:variant>
      <vt:variant>
        <vt:i4>5</vt:i4>
      </vt:variant>
      <vt:variant>
        <vt:lpwstr>https://www.justice.govt.nz/justice-sector-policy/constitutional-issues-and-human-rights/independent-electoral-review/</vt:lpwstr>
      </vt:variant>
      <vt:variant>
        <vt:lpwstr/>
      </vt:variant>
      <vt:variant>
        <vt:i4>2752615</vt:i4>
      </vt:variant>
      <vt:variant>
        <vt:i4>24</vt:i4>
      </vt:variant>
      <vt:variant>
        <vt:i4>0</vt:i4>
      </vt:variant>
      <vt:variant>
        <vt:i4>5</vt:i4>
      </vt:variant>
      <vt:variant>
        <vt:lpwstr>https://www3.parliament.nz/en/pb/sc/make-a-submission/document/54SCENV_SCF_BA467863-D6B0-4968-1027-08DE369D9192/planning-bill-and-natural-environment-bill</vt:lpwstr>
      </vt:variant>
      <vt:variant>
        <vt:lpwstr/>
      </vt:variant>
      <vt:variant>
        <vt:i4>3866660</vt:i4>
      </vt:variant>
      <vt:variant>
        <vt:i4>21</vt:i4>
      </vt:variant>
      <vt:variant>
        <vt:i4>0</vt:i4>
      </vt:variant>
      <vt:variant>
        <vt:i4>5</vt:i4>
      </vt:variant>
      <vt:variant>
        <vt:lpwstr>https://www.legislation.govt.nz/act/public/1991/0069/latest/link.aspx?id=DLM435834</vt:lpwstr>
      </vt:variant>
      <vt:variant>
        <vt:lpwstr>DLM435834</vt:lpwstr>
      </vt:variant>
      <vt:variant>
        <vt:i4>7536702</vt:i4>
      </vt:variant>
      <vt:variant>
        <vt:i4>18</vt:i4>
      </vt:variant>
      <vt:variant>
        <vt:i4>0</vt:i4>
      </vt:variant>
      <vt:variant>
        <vt:i4>5</vt:i4>
      </vt:variant>
      <vt:variant>
        <vt:lpwstr>https://bills.parliament.nz/v/Bill/65445e46-256b-4800-37f2-08de25831691?lang=en</vt:lpwstr>
      </vt:variant>
      <vt:variant>
        <vt:lpwstr/>
      </vt:variant>
      <vt:variant>
        <vt:i4>6094969</vt:i4>
      </vt:variant>
      <vt:variant>
        <vt:i4>15</vt:i4>
      </vt:variant>
      <vt:variant>
        <vt:i4>0</vt:i4>
      </vt:variant>
      <vt:variant>
        <vt:i4>5</vt:i4>
      </vt:variant>
      <vt:variant>
        <vt:lpwstr>https://www3.parliament.nz/resource/en-NZ/54SCEDUW_EVI_65445e46-256b-4800-37f2-08de25831691_EDUW16054/a928933b21c50900dbad61336ae6d287ee3e1261</vt:lpwstr>
      </vt:variant>
      <vt:variant>
        <vt:lpwstr/>
      </vt:variant>
      <vt:variant>
        <vt:i4>917542</vt:i4>
      </vt:variant>
      <vt:variant>
        <vt:i4>12</vt:i4>
      </vt:variant>
      <vt:variant>
        <vt:i4>0</vt:i4>
      </vt:variant>
      <vt:variant>
        <vt:i4>5</vt:i4>
      </vt:variant>
      <vt:variant>
        <vt:lpwstr>https://www3.parliament.nz/resource/en-NZ/54SCEDUW_EVI_65445e46-256b-4800-37f2-08de25831691_EDUW15781/4df476ca3d6f2d6bc2e0d2a95b17b8651f95f21f</vt:lpwstr>
      </vt:variant>
      <vt:variant>
        <vt:lpwstr/>
      </vt:variant>
      <vt:variant>
        <vt:i4>6357089</vt:i4>
      </vt:variant>
      <vt:variant>
        <vt:i4>9</vt:i4>
      </vt:variant>
      <vt:variant>
        <vt:i4>0</vt:i4>
      </vt:variant>
      <vt:variant>
        <vt:i4>5</vt:i4>
      </vt:variant>
      <vt:variant>
        <vt:lpwstr/>
      </vt:variant>
      <vt:variant>
        <vt:lpwstr>aa4</vt:lpwstr>
      </vt:variant>
      <vt:variant>
        <vt:i4>6357089</vt:i4>
      </vt:variant>
      <vt:variant>
        <vt:i4>6</vt:i4>
      </vt:variant>
      <vt:variant>
        <vt:i4>0</vt:i4>
      </vt:variant>
      <vt:variant>
        <vt:i4>5</vt:i4>
      </vt:variant>
      <vt:variant>
        <vt:lpwstr/>
      </vt:variant>
      <vt:variant>
        <vt:lpwstr>aa3</vt:lpwstr>
      </vt:variant>
      <vt:variant>
        <vt:i4>6357089</vt:i4>
      </vt:variant>
      <vt:variant>
        <vt:i4>3</vt:i4>
      </vt:variant>
      <vt:variant>
        <vt:i4>0</vt:i4>
      </vt:variant>
      <vt:variant>
        <vt:i4>5</vt:i4>
      </vt:variant>
      <vt:variant>
        <vt:lpwstr/>
      </vt:variant>
      <vt:variant>
        <vt:lpwstr>aa2</vt:lpwstr>
      </vt:variant>
      <vt:variant>
        <vt:i4>6357089</vt:i4>
      </vt:variant>
      <vt:variant>
        <vt:i4>0</vt:i4>
      </vt:variant>
      <vt:variant>
        <vt:i4>0</vt:i4>
      </vt:variant>
      <vt:variant>
        <vt:i4>5</vt:i4>
      </vt:variant>
      <vt:variant>
        <vt:lpwstr/>
      </vt:variant>
      <vt:variant>
        <vt:lpwstr>aa1</vt:lpwstr>
      </vt:variant>
      <vt:variant>
        <vt:i4>2031636</vt:i4>
      </vt:variant>
      <vt:variant>
        <vt:i4>0</vt:i4>
      </vt:variant>
      <vt:variant>
        <vt:i4>0</vt:i4>
      </vt:variant>
      <vt:variant>
        <vt:i4>5</vt:i4>
      </vt:variant>
      <vt:variant>
        <vt:lpwstr>https://www.regulation.govt.nz/our-work/regulatory-impact-statements/regulatory-impact-statement-establishing-enduring-goals-or-objectives-for-education-for-children-and-young-people-aged-0-to-18/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Quarterly Briefing</dc:title>
  <dc:subject/>
  <dc:creator>Will Workman</dc:creator>
  <cp:keywords>Panui Māori Policy Paper</cp:keywords>
  <dc:description>Subscription only</dc:description>
  <cp:lastModifiedBy>Admin Workman</cp:lastModifiedBy>
  <cp:revision>31</cp:revision>
  <cp:lastPrinted>2019-06-27T19:21:00Z</cp:lastPrinted>
  <dcterms:created xsi:type="dcterms:W3CDTF">2026-03-24T18:27:00Z</dcterms:created>
  <dcterms:modified xsi:type="dcterms:W3CDTF">2026-03-24T01:49:00Z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raftStamp">
    <vt:lpwstr>w:compa</vt:lpwstr>
  </property>
  <property fmtid="{D5CDD505-2E9C-101B-9397-08002B2CF9AE}" pid="3" name="EN.InstantFormat">
    <vt:lpwstr>&lt;ENInstantFormat&gt;&lt;Enabled&gt;1&lt;/Enabled&gt;&lt;ScanUnformatted&gt;1&lt;/ScanUnformatted&gt;&lt;ScanChanges&gt;1&lt;/ScanChanges&gt;&lt;/ENInstantFormat&gt;</vt:lpwstr>
  </property>
  <property fmtid="{D5CDD505-2E9C-101B-9397-08002B2CF9AE}" pid="4" name="dvSender">
    <vt:lpwstr>⻄嫌ǟᤰƮӤင⩈嫽Ɇ`Ѐ</vt:lpwstr>
  </property>
  <property fmtid="{D5CDD505-2E9C-101B-9397-08002B2CF9AE}" pid="5" name="dvSubject">
    <vt:lpwstr>http://schemas.openxmlformats.org/officeDocument/2006/relationships/endnotess&amp;&amp;&amp;&amp;&amp;&amp;&amp;&amp;&amp;%%%%%'''''((((((ӤӤӤ**ӤӤӤӤ✐ӤӢӣӥӦӧӨөӪӢӣӥӦӧӨөӪӢӣӥӦӧӨөӪӢӣӥӦӧӨөӪͪӢӣӥӦөӢӣӥӦ</vt:lpwstr>
  </property>
  <property fmtid="{D5CDD505-2E9C-101B-9397-08002B2CF9AE}" pid="6" name="GrammarlyDocumentId">
    <vt:lpwstr>f74f6b70f74c86a6fb65cefe4d8a30a90b14fe5b36e69026c0b2aea77edd9d7e</vt:lpwstr>
  </property>
</Properties>
</file>